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p>
    <w:p>
      <w:pPr>
        <w:pStyle w:val="BodyText"/>
      </w:pPr>
      <w:r>
        <w:t xml:space="preserve">PROMOTEURS ET MAÎTRISE D'OUVRAGE · MODÈLE DE DOCUMENT</w:t>
      </w:r>
    </w:p>
    <w:bookmarkStart w:id="26" w:name="procès-verbal-de-levée-des-réserves"/>
    <w:p>
      <w:pPr>
        <w:pStyle w:val="Heading1"/>
      </w:pPr>
      <w:r>
        <w:t xml:space="preserve">Procès-verbal de levée des réserves</w:t>
      </w:r>
    </w:p>
    <w:p>
      <w:pPr>
        <w:pStyle w:val="FirstParagraph"/>
      </w:pPr>
      <w:r>
        <w:t xml:space="preserve">Ce procès-verbal constate, après contrôle contradictoire, le sort de chaque réserve consignée lors de la réception des travaux : levée, levée partielle ou maintenue. Il ne remplace pas le procès-verbal de réception, qu'il complète. Les champs à renseigner sont matérialisés ; une notice d'utilisation figure en fin de document.</w:t>
      </w:r>
    </w:p>
    <w:p>
      <w:pPr>
        <w:pStyle w:val="BodyText"/>
      </w:pPr>
      <w:r>
        <w:rPr>
          <w:b/>
          <w:bCs/>
        </w:rPr>
        <w:t xml:space="preserve">Modèle fourni à titre indicatif, à adapter et à faire valider avant usage.</w:t>
      </w:r>
      <w:r>
        <w:t xml:space="preserve"> </w:t>
      </w:r>
      <w:r>
        <w:t xml:space="preserve">Il n'existe pas de modèle légal universel : le contenu et le formalisme dépendent du contrat, du devis, du procès-verbal de réception et des autres pièces du marché. En marché public, utilisez les pièces prévues par le marché et les formulaires applicables.</w:t>
      </w:r>
    </w:p>
    <w:bookmarkStart w:id="9" w:name="X69ae279a198328ca209e33a9967b56a43e17148"/>
    <w:p>
      <w:pPr>
        <w:pStyle w:val="Heading2"/>
      </w:pPr>
      <w:r>
        <w:t xml:space="preserve">1</w:t>
      </w:r>
      <w:r>
        <w:t xml:space="preserve"> </w:t>
      </w:r>
      <w:r>
        <w:t xml:space="preserve">Identification des parties et du chantier</w:t>
      </w:r>
    </w:p>
    <w:tbl>
      <w:tblPr>
        <w:tblStyle w:val="Table"/>
        <w:tblW w:type="dxa" w:w="10092"/>
        <w:tblBorders>
          <w:top w:val="single" w:sz="4" w:space="0" w:color="C9BFAF"/>
          <w:left w:val="single" w:sz="4" w:space="0" w:color="C9BFAF"/>
          <w:bottom w:val="single" w:sz="4" w:space="0" w:color="C9BFAF"/>
          <w:right w:val="single" w:sz="4" w:space="0" w:color="C9BFAF"/>
          <w:insideH w:val="single" w:sz="4" w:space="0" w:color="C9BFAF"/>
          <w:insideV w:val="single" w:sz="4" w:space="0" w:color="C9BFAF"/>
        </w:tblBorders>
        <w:tblLayout w:type="fixed"/>
        <w:tblLook w:firstRow="0" w:lastRow="0" w:firstColumn="0" w:lastColumn="0" w:noHBand="0" w:noVBand="0" w:val="0000"/>
      </w:tblPr>
      <w:tblGrid>
        <w:gridCol w:w="2422"/>
        <w:gridCol w:w="2523"/>
        <w:gridCol w:w="2523"/>
        <w:gridCol w:w="2624"/>
      </w:tblGrid>
      <w:tr>
        <w:trPr>
          <w:cantSplit/>
          <w:trHeight w:val="380" w:hRule="atLeast"/>
        </w:trPr>
        <w:tc>
          <w:tcPr>
            <w:tcW w:w="2422" w:type="dxa"/>
            <w:shd w:val="clear" w:color="auto" w:fill="F6F1EA"/>
          </w:tcPr>
          <w:p>
            <w:pPr>
              <w:pStyle w:val="Compact"/>
            </w:pPr>
            <w:r>
              <w:t xml:space="preserve">Maître d'ouvrage</w:t>
            </w:r>
          </w:p>
        </w:tc>
        <w:tc>
          <w:tcPr>
            <w:tcW w:w="7670" w:type="dxa"/>
            <w:gridSpan w:val="3"/>
          </w:tcPr>
          <w:p>
            <w:pPr>
              <w:pStyle w:val="Compact"/>
            </w:pPr>
            <w:r>
              <w:t xml:space="preserve">Dénomination et adresse :</w:t>
            </w:r>
          </w:p>
        </w:tc>
      </w:tr>
      <w:tr>
        <w:trPr>
          <w:cantSplit/>
          <w:trHeight w:val="380" w:hRule="atLeast"/>
        </w:trPr>
        <w:tc>
          <w:tcPr>
            <w:tcW w:w="2422" w:type="dxa"/>
            <w:shd w:val="clear" w:color="auto" w:fill="F6F1EA"/>
          </w:tcPr>
          <w:p>
            <w:pPr>
              <w:pStyle w:val="Compact"/>
            </w:pPr>
            <w:r>
              <w:t xml:space="preserve">Représentant habilité</w:t>
            </w:r>
          </w:p>
        </w:tc>
        <w:tc>
          <w:tcPr>
            <w:tcW w:w="2523" w:type="dxa"/>
          </w:tcPr>
          <w:p>
            <w:pPr>
              <w:pStyle w:val="Compact"/>
            </w:pPr>
            <w:r>
              <w:t xml:space="preserve">Nom :</w:t>
            </w:r>
          </w:p>
        </w:tc>
        <w:tc>
          <w:tcPr>
            <w:tcW w:w="5147" w:type="dxa"/>
            <w:gridSpan w:val="2"/>
          </w:tcPr>
          <w:p>
            <w:pPr>
              <w:pStyle w:val="Compact"/>
            </w:pPr>
            <w:r>
              <w:t xml:space="preserve">Qualité :</w:t>
            </w:r>
          </w:p>
        </w:tc>
      </w:tr>
      <w:tr>
        <w:trPr>
          <w:cantSplit/>
          <w:trHeight w:val="380" w:hRule="atLeast"/>
        </w:trPr>
        <w:tc>
          <w:tcPr>
            <w:tcW w:w="2422" w:type="dxa"/>
            <w:shd w:val="clear" w:color="auto" w:fill="F6F1EA"/>
          </w:tcPr>
          <w:p>
            <w:pPr>
              <w:pStyle w:val="Compact"/>
            </w:pPr>
            <w:r>
              <w:t xml:space="preserve">Entreprise titulaire du lot</w:t>
            </w:r>
          </w:p>
        </w:tc>
        <w:tc>
          <w:tcPr>
            <w:tcW w:w="5046" w:type="dxa"/>
            <w:gridSpan w:val="2"/>
          </w:tcPr>
          <w:p>
            <w:pPr>
              <w:pStyle w:val="Compact"/>
            </w:pPr>
            <w:r>
              <w:t xml:space="preserve">Dénomination et adresse :</w:t>
            </w:r>
          </w:p>
        </w:tc>
        <w:tc>
          <w:tcPr>
            <w:tcW w:w="2624" w:type="dxa"/>
          </w:tcPr>
          <w:p>
            <w:pPr>
              <w:pStyle w:val="Compact"/>
            </w:pPr>
            <w:r>
              <w:t xml:space="preserve">Lot :</w:t>
            </w:r>
          </w:p>
        </w:tc>
      </w:tr>
      <w:tr>
        <w:trPr>
          <w:cantSplit/>
          <w:trHeight w:val="380" w:hRule="atLeast"/>
        </w:trPr>
        <w:tc>
          <w:tcPr>
            <w:tcW w:w="2422" w:type="dxa"/>
            <w:shd w:val="clear" w:color="auto" w:fill="F6F1EA"/>
          </w:tcPr>
          <w:p>
            <w:pPr>
              <w:pStyle w:val="Compact"/>
            </w:pPr>
            <w:r>
              <w:t xml:space="preserve">Représentant habilité</w:t>
            </w:r>
          </w:p>
        </w:tc>
        <w:tc>
          <w:tcPr>
            <w:tcW w:w="2523" w:type="dxa"/>
          </w:tcPr>
          <w:p>
            <w:pPr>
              <w:pStyle w:val="Compact"/>
            </w:pPr>
            <w:r>
              <w:t xml:space="preserve">Nom :</w:t>
            </w:r>
          </w:p>
        </w:tc>
        <w:tc>
          <w:tcPr>
            <w:tcW w:w="5147" w:type="dxa"/>
            <w:gridSpan w:val="2"/>
          </w:tcPr>
          <w:p>
            <w:pPr>
              <w:pStyle w:val="Compact"/>
            </w:pPr>
            <w:r>
              <w:t xml:space="preserve">Qualité :</w:t>
            </w:r>
          </w:p>
        </w:tc>
      </w:tr>
      <w:tr>
        <w:trPr>
          <w:cantSplit/>
          <w:trHeight w:val="380" w:hRule="atLeast"/>
        </w:trPr>
        <w:tc>
          <w:tcPr>
            <w:tcW w:w="2422" w:type="dxa"/>
            <w:shd w:val="clear" w:color="auto" w:fill="F6F1EA"/>
          </w:tcPr>
          <w:p>
            <w:pPr>
              <w:pStyle w:val="Compact"/>
            </w:pPr>
            <w:r>
              <w:t xml:space="preserve">Maître d'œuvre (s'il intervient)</w:t>
            </w:r>
          </w:p>
        </w:tc>
        <w:tc>
          <w:tcPr>
            <w:tcW w:w="7670" w:type="dxa"/>
            <w:gridSpan w:val="3"/>
          </w:tcPr>
          <w:p>
            <w:pPr>
              <w:pStyle w:val="Compact"/>
            </w:pPr>
            <w:r>
              <w:t xml:space="preserve">Dénomination et adresse :</w:t>
            </w:r>
          </w:p>
        </w:tc>
      </w:tr>
      <w:tr>
        <w:trPr>
          <w:cantSplit/>
          <w:trHeight w:val="380" w:hRule="atLeast"/>
        </w:trPr>
        <w:tc>
          <w:tcPr>
            <w:tcW w:w="2422" w:type="dxa"/>
            <w:shd w:val="clear" w:color="auto" w:fill="F6F1EA"/>
          </w:tcPr>
          <w:p>
            <w:pPr>
              <w:pStyle w:val="Compact"/>
            </w:pPr>
            <w:r>
              <w:t xml:space="preserve">Représentant habilité</w:t>
            </w:r>
          </w:p>
        </w:tc>
        <w:tc>
          <w:tcPr>
            <w:tcW w:w="2523" w:type="dxa"/>
          </w:tcPr>
          <w:p>
            <w:pPr>
              <w:pStyle w:val="Compact"/>
            </w:pPr>
            <w:r>
              <w:t xml:space="preserve">Nom :</w:t>
            </w:r>
          </w:p>
        </w:tc>
        <w:tc>
          <w:tcPr>
            <w:tcW w:w="5147" w:type="dxa"/>
            <w:gridSpan w:val="2"/>
          </w:tcPr>
          <w:p>
            <w:pPr>
              <w:pStyle w:val="Compact"/>
            </w:pPr>
            <w:r>
              <w:t xml:space="preserve">Qualité :</w:t>
            </w:r>
          </w:p>
        </w:tc>
      </w:tr>
      <w:tr>
        <w:trPr>
          <w:cantSplit/>
          <w:trHeight w:val="380" w:hRule="atLeast"/>
        </w:trPr>
        <w:tc>
          <w:tcPr>
            <w:tcW w:w="2422" w:type="dxa"/>
            <w:shd w:val="clear" w:color="auto" w:fill="F6F1EA"/>
          </w:tcPr>
          <w:p>
            <w:pPr>
              <w:pStyle w:val="Compact"/>
            </w:pPr>
            <w:r>
              <w:t xml:space="preserve">Chantier ou opération</w:t>
            </w:r>
          </w:p>
        </w:tc>
        <w:tc>
          <w:tcPr>
            <w:tcW w:w="7670" w:type="dxa"/>
            <w:gridSpan w:val="3"/>
          </w:tcPr>
          <w:p>
            <w:pPr>
              <w:pStyle w:val="Compact"/>
            </w:pPr>
            <w:r>
              <w:t xml:space="preserve"> </w:t>
            </w:r>
          </w:p>
        </w:tc>
      </w:tr>
      <w:tr>
        <w:trPr>
          <w:cantSplit/>
          <w:trHeight w:val="380" w:hRule="atLeast"/>
        </w:trPr>
        <w:tc>
          <w:tcPr>
            <w:tcW w:w="2422" w:type="dxa"/>
            <w:shd w:val="clear" w:color="auto" w:fill="F6F1EA"/>
          </w:tcPr>
          <w:p>
            <w:pPr>
              <w:pStyle w:val="Compact"/>
            </w:pPr>
            <w:r>
              <w:t xml:space="preserve">Site, bâtiment, zone</w:t>
            </w:r>
          </w:p>
        </w:tc>
        <w:tc>
          <w:tcPr>
            <w:tcW w:w="2523" w:type="dxa"/>
          </w:tcPr>
          <w:p>
            <w:pPr>
              <w:pStyle w:val="Compact"/>
            </w:pPr>
            <w:r>
              <w:t xml:space="preserve">Site :</w:t>
            </w:r>
          </w:p>
        </w:tc>
        <w:tc>
          <w:tcPr>
            <w:tcW w:w="2523" w:type="dxa"/>
          </w:tcPr>
          <w:p>
            <w:pPr>
              <w:pStyle w:val="Compact"/>
            </w:pPr>
            <w:r>
              <w:t xml:space="preserve">Bâtiment :</w:t>
            </w:r>
          </w:p>
        </w:tc>
        <w:tc>
          <w:tcPr>
            <w:tcW w:w="2624" w:type="dxa"/>
          </w:tcPr>
          <w:p>
            <w:pPr>
              <w:pStyle w:val="Compact"/>
            </w:pPr>
            <w:r>
              <w:t xml:space="preserve">Zone :</w:t>
            </w:r>
          </w:p>
        </w:tc>
      </w:tr>
      <w:tr>
        <w:trPr>
          <w:cantSplit/>
          <w:trHeight w:val="380" w:hRule="atLeast"/>
        </w:trPr>
        <w:tc>
          <w:tcPr>
            <w:tcW w:w="2422" w:type="dxa"/>
            <w:shd w:val="clear" w:color="auto" w:fill="F6F1EA"/>
          </w:tcPr>
          <w:p>
            <w:pPr>
              <w:pStyle w:val="Compact"/>
            </w:pPr>
            <w:r>
              <w:t xml:space="preserve">Marché, contrat ou devis</w:t>
            </w:r>
          </w:p>
        </w:tc>
        <w:tc>
          <w:tcPr>
            <w:tcW w:w="5046" w:type="dxa"/>
            <w:gridSpan w:val="2"/>
          </w:tcPr>
          <w:p>
            <w:pPr>
              <w:pStyle w:val="Compact"/>
            </w:pPr>
            <w:r>
              <w:t xml:space="preserve">Référence :</w:t>
            </w:r>
          </w:p>
        </w:tc>
        <w:tc>
          <w:tcPr>
            <w:tcW w:w="2624" w:type="dxa"/>
          </w:tcPr>
          <w:p>
            <w:pPr>
              <w:pStyle w:val="Compact"/>
            </w:pPr>
            <w:r>
              <w:t xml:space="preserve">Date :</w:t>
            </w:r>
          </w:p>
        </w:tc>
      </w:tr>
      <w:tr>
        <w:trPr>
          <w:cantSplit/>
          <w:trHeight w:val="380" w:hRule="atLeast"/>
        </w:trPr>
        <w:tc>
          <w:tcPr>
            <w:tcW w:w="2422" w:type="dxa"/>
            <w:shd w:val="clear" w:color="auto" w:fill="F6F1EA"/>
          </w:tcPr>
          <w:p>
            <w:pPr>
              <w:pStyle w:val="Compact"/>
            </w:pPr>
            <w:r>
              <w:t xml:space="preserve">PV de réception initial</w:t>
            </w:r>
          </w:p>
        </w:tc>
        <w:tc>
          <w:tcPr>
            <w:tcW w:w="5046" w:type="dxa"/>
            <w:gridSpan w:val="2"/>
          </w:tcPr>
          <w:p>
            <w:pPr>
              <w:pStyle w:val="Compact"/>
            </w:pPr>
            <w:r>
              <w:t xml:space="preserve">Référence :</w:t>
            </w:r>
          </w:p>
        </w:tc>
        <w:tc>
          <w:tcPr>
            <w:tcW w:w="2624" w:type="dxa"/>
          </w:tcPr>
          <w:p>
            <w:pPr>
              <w:pStyle w:val="Compact"/>
            </w:pPr>
            <w:r>
              <w:t xml:space="preserve">Date de réception :</w:t>
            </w:r>
          </w:p>
        </w:tc>
      </w:tr>
      <w:tr>
        <w:trPr>
          <w:cantSplit/>
          <w:trHeight w:val="380" w:hRule="atLeast"/>
        </w:trPr>
        <w:tc>
          <w:tcPr>
            <w:tcW w:w="2422" w:type="dxa"/>
            <w:shd w:val="clear" w:color="auto" w:fill="F6F1EA"/>
          </w:tcPr>
          <w:p>
            <w:pPr>
              <w:pStyle w:val="Compact"/>
            </w:pPr>
            <w:r>
              <w:t xml:space="preserve">Constat des corrections</w:t>
            </w:r>
          </w:p>
        </w:tc>
        <w:tc>
          <w:tcPr>
            <w:tcW w:w="7670" w:type="dxa"/>
            <w:gridSpan w:val="3"/>
          </w:tcPr>
          <w:p>
            <w:pPr>
              <w:pStyle w:val="Compact"/>
            </w:pPr>
            <w:r>
              <w:t xml:space="preserve">Date du constat :                    Lieu :</w:t>
            </w:r>
          </w:p>
        </w:tc>
      </w:tr>
    </w:tbl>
    <w:p>
      <w:pPr>
        <w:pStyle w:val="BodyText"/>
      </w:pPr>
      <w:r>
        <w:rPr>
          <w:b/>
          <w:bCs/>
        </w:rPr>
        <w:t xml:space="preserve">Nature du marché :</w:t>
      </w:r>
      <w:r>
        <w:t xml:space="preserve"> </w:t>
      </w:r>
      <w:r>
        <w:t xml:space="preserve">☐ Marché privé</w:t>
      </w:r>
      <w:r>
        <w:t xml:space="preserve"> </w:t>
      </w:r>
      <w:r>
        <w:t xml:space="preserve">☐ Marché public (CCAG Travaux 2021)</w:t>
      </w:r>
    </w:p>
    <w:p>
      <w:pPr>
        <w:pStyle w:val="BodyText"/>
      </w:pPr>
      <w:r>
        <w:rPr>
          <w:b/>
          <w:bCs/>
        </w:rPr>
        <w:t xml:space="preserve">Portée du présent procès-verbal :</w:t>
      </w:r>
      <w:r>
        <w:t xml:space="preserve"> </w:t>
      </w:r>
      <w:r>
        <w:t xml:space="preserve">☐ Totale : toutes les réserves du PV initial</w:t>
      </w:r>
      <w:r>
        <w:t xml:space="preserve"> </w:t>
      </w:r>
      <w:r>
        <w:t xml:space="preserve">☐ Partielle : réserves n° ……………………</w:t>
      </w:r>
    </w:p>
    <w:bookmarkEnd w:id="9"/>
    <w:bookmarkStart w:id="10" w:name="objet"/>
    <w:p>
      <w:pPr>
        <w:pStyle w:val="Heading2"/>
      </w:pPr>
      <w:r>
        <w:t xml:space="preserve">2</w:t>
      </w:r>
      <w:r>
        <w:t xml:space="preserve"> </w:t>
      </w:r>
      <w:r>
        <w:t xml:space="preserve">Objet</w:t>
      </w:r>
    </w:p>
    <w:p>
      <w:pPr>
        <w:pStyle w:val="FirstParagraph"/>
      </w:pPr>
      <w:r>
        <w:t xml:space="preserve">La réception de l'ouvrage a été prononcée avec réserves le ……… / ……… / …………, au sens de l'article 1792-6 du Code civil, selon le procès-verbal référencé ci-dessus. L'entreprise titulaire du lot a déclaré avoir exécuté les corrections décrites dans le tableau ci-après. Les parties soussignées ont procédé, le jour du constat, au contrôle contradictoire de ces corrections et consignent ci-dessous le résultat de ce contrôle pour chaque réserve.</w:t>
      </w:r>
    </w:p>
    <w:bookmarkEnd w:id="10"/>
    <w:bookmarkStart w:id="12" w:name="tableau-de-suivi-des-réserves"/>
    <w:p>
      <w:pPr>
        <w:pStyle w:val="Heading2"/>
        <w:pageBreakBefore/>
      </w:pPr>
      <w:r>
        <w:t xml:space="preserve">3</w:t>
      </w:r>
      <w:r>
        <w:t xml:space="preserve"> </w:t>
      </w:r>
      <w:r>
        <w:t xml:space="preserve">Tableau de suivi des réserves</w:t>
      </w:r>
    </w:p>
    <w:p>
      <w:pPr>
        <w:pStyle w:val="FirstParagraph"/>
      </w:pPr>
      <w:r>
        <w:t xml:space="preserve">Les deux premières lignes sont des exemples de formulation, à supprimer avant usage.</w:t>
      </w:r>
    </w:p>
    <w:tbl>
      <w:tblPr>
        <w:tblStyle w:val="Table"/>
        <w:tblW w:type="dxa" w:w="10092"/>
        <w:tblBorders>
          <w:top w:val="single" w:sz="4" w:space="0" w:color="C9BFAF"/>
          <w:left w:val="single" w:sz="4" w:space="0" w:color="C9BFAF"/>
          <w:bottom w:val="single" w:sz="4" w:space="0" w:color="C9BFAF"/>
          <w:right w:val="single" w:sz="4" w:space="0" w:color="C9BFAF"/>
          <w:insideH w:val="single" w:sz="4" w:space="0" w:color="C9BFAF"/>
          <w:insideV w:val="single" w:sz="4" w:space="0" w:color="C9BFAF"/>
        </w:tblBorders>
        <w:tblLayout w:type="fixed"/>
        <w:tblLook w:firstRow="1" w:lastRow="0" w:firstColumn="0" w:lastColumn="0" w:noHBand="0" w:noVBand="0" w:val="0020"/>
      </w:tblPr>
      <w:tblGrid>
        <w:gridCol w:w="899"/>
        <w:gridCol w:w="1399"/>
        <w:gridCol w:w="1399"/>
        <w:gridCol w:w="1299"/>
        <w:gridCol w:w="1299"/>
        <w:gridCol w:w="1299"/>
        <w:gridCol w:w="1299"/>
        <w:gridCol w:w="1199"/>
      </w:tblGrid>
      <w:tr>
        <w:trPr>
          <w:tblHeader w:val="on"/>
        </w:trPr>
        <w:tc>
          <w:tcPr>
            <w:tcW w:w="899" w:type="dxa"/>
            <w:shd w:val="clear" w:color="auto" w:fill="071C4D"/>
          </w:tcPr>
          <w:p>
            <w:pPr>
              <w:pStyle w:val="Compact"/>
            </w:pPr>
            <w:r>
              <w:rPr>
                <w:b/>
                <w:color w:val="FFFFFF"/>
                <w:sz w:val="16"/>
              </w:rPr>
              <w:t xml:space="preserve">N°</w:t>
            </w:r>
          </w:p>
        </w:tc>
        <w:tc>
          <w:tcPr>
            <w:tcW w:w="1399" w:type="dxa"/>
            <w:shd w:val="clear" w:color="auto" w:fill="071C4D"/>
          </w:tcPr>
          <w:p>
            <w:pPr>
              <w:pStyle w:val="Compact"/>
            </w:pPr>
            <w:r>
              <w:rPr>
                <w:b/>
                <w:color w:val="FFFFFF"/>
                <w:sz w:val="16"/>
              </w:rPr>
              <w:t xml:space="preserve">Site et localisation</w:t>
            </w:r>
          </w:p>
        </w:tc>
        <w:tc>
          <w:tcPr>
            <w:tcW w:w="1399" w:type="dxa"/>
            <w:shd w:val="clear" w:color="auto" w:fill="071C4D"/>
          </w:tcPr>
          <w:p>
            <w:pPr>
              <w:pStyle w:val="Compact"/>
            </w:pPr>
            <w:r>
              <w:rPr>
                <w:b/>
                <w:color w:val="FFFFFF"/>
                <w:sz w:val="16"/>
              </w:rPr>
              <w:t xml:space="preserve">Réserve initiale</w:t>
            </w:r>
          </w:p>
        </w:tc>
        <w:tc>
          <w:tcPr>
            <w:tcW w:w="1299" w:type="dxa"/>
            <w:shd w:val="clear" w:color="auto" w:fill="071C4D"/>
          </w:tcPr>
          <w:p>
            <w:pPr>
              <w:pStyle w:val="Compact"/>
            </w:pPr>
            <w:r>
              <w:rPr>
                <w:b/>
                <w:color w:val="FFFFFF"/>
                <w:sz w:val="16"/>
              </w:rPr>
              <w:t xml:space="preserve">Correction déclarée</w:t>
            </w:r>
          </w:p>
        </w:tc>
        <w:tc>
          <w:tcPr>
            <w:tcW w:w="1299" w:type="dxa"/>
            <w:shd w:val="clear" w:color="auto" w:fill="071C4D"/>
          </w:tcPr>
          <w:p>
            <w:pPr>
              <w:pStyle w:val="Compact"/>
            </w:pPr>
            <w:r>
              <w:rPr>
                <w:b/>
                <w:color w:val="FFFFFF"/>
                <w:sz w:val="16"/>
              </w:rPr>
              <w:t xml:space="preserve">Contrôle réalisé</w:t>
            </w:r>
          </w:p>
        </w:tc>
        <w:tc>
          <w:tcPr>
            <w:tcW w:w="1299" w:type="dxa"/>
            <w:shd w:val="clear" w:color="auto" w:fill="071C4D"/>
          </w:tcPr>
          <w:p>
            <w:pPr>
              <w:pStyle w:val="Compact"/>
            </w:pPr>
            <w:r>
              <w:rPr>
                <w:b/>
                <w:color w:val="FFFFFF"/>
                <w:sz w:val="16"/>
              </w:rPr>
              <w:t xml:space="preserve">Preuve jointe</w:t>
            </w:r>
          </w:p>
        </w:tc>
        <w:tc>
          <w:tcPr>
            <w:tcW w:w="1299" w:type="dxa"/>
            <w:shd w:val="clear" w:color="auto" w:fill="071C4D"/>
          </w:tcPr>
          <w:p>
            <w:pPr>
              <w:pStyle w:val="Compact"/>
            </w:pPr>
            <w:r>
              <w:rPr>
                <w:b/>
                <w:color w:val="FFFFFF"/>
                <w:sz w:val="16"/>
              </w:rPr>
              <w:t xml:space="preserve">Statut</w:t>
            </w:r>
          </w:p>
        </w:tc>
        <w:tc>
          <w:tcPr>
            <w:tcW w:w="1199" w:type="dxa"/>
            <w:shd w:val="clear" w:color="auto" w:fill="071C4D"/>
          </w:tcPr>
          <w:p>
            <w:pPr>
              <w:pStyle w:val="Compact"/>
            </w:pPr>
            <w:r>
              <w:rPr>
                <w:b/>
                <w:color w:val="FFFFFF"/>
                <w:sz w:val="16"/>
              </w:rPr>
              <w:t xml:space="preserve">Date</w:t>
            </w:r>
          </w:p>
        </w:tc>
      </w:tr>
      <w:tr>
        <w:trPr>
          <w:cantSplit/>
          <w:trHeight w:val="380" w:hRule="atLeast"/>
        </w:trPr>
        <w:tc>
          <w:tcPr>
            <w:tcW w:w="899" w:type="dxa"/>
          </w:tcPr>
          <w:p>
            <w:pPr>
              <w:pStyle w:val="Compact"/>
            </w:pPr>
            <w:r>
              <w:t xml:space="preserve">01</w:t>
            </w:r>
            <w:r>
              <w:br/>
            </w:r>
            <w:r>
              <w:t xml:space="preserve">Exemple</w:t>
            </w:r>
          </w:p>
        </w:tc>
        <w:tc>
          <w:tcPr>
            <w:tcW w:w="1399" w:type="dxa"/>
          </w:tcPr>
          <w:p>
            <w:pPr>
              <w:pStyle w:val="Compact"/>
            </w:pPr>
            <w:r>
              <w:t xml:space="preserve">Site A, local électrique</w:t>
            </w:r>
          </w:p>
        </w:tc>
        <w:tc>
          <w:tcPr>
            <w:tcW w:w="1399" w:type="dxa"/>
          </w:tcPr>
          <w:p>
            <w:pPr>
              <w:pStyle w:val="Compact"/>
            </w:pPr>
            <w:r>
              <w:t xml:space="preserve">Repérage absent sur le tableau</w:t>
            </w:r>
          </w:p>
        </w:tc>
        <w:tc>
          <w:tcPr>
            <w:tcW w:w="1299" w:type="dxa"/>
          </w:tcPr>
          <w:p>
            <w:pPr>
              <w:pStyle w:val="Compact"/>
            </w:pPr>
            <w:r>
              <w:t xml:space="preserve">Repérage posé</w:t>
            </w:r>
          </w:p>
        </w:tc>
        <w:tc>
          <w:tcPr>
            <w:tcW w:w="1299" w:type="dxa"/>
          </w:tcPr>
          <w:p>
            <w:pPr>
              <w:pStyle w:val="Compact"/>
            </w:pPr>
            <w:r>
              <w:t xml:space="preserve">Contrôle visuel conforme</w:t>
            </w:r>
          </w:p>
        </w:tc>
        <w:tc>
          <w:tcPr>
            <w:tcW w:w="1299" w:type="dxa"/>
          </w:tcPr>
          <w:p>
            <w:pPr>
              <w:pStyle w:val="Compact"/>
            </w:pPr>
            <w:r>
              <w:t xml:space="preserve">Photo et rapport</w:t>
            </w:r>
          </w:p>
        </w:tc>
        <w:tc>
          <w:tcPr>
            <w:tcW w:w="1299" w:type="dxa"/>
          </w:tcPr>
          <w:p>
            <w:pPr>
              <w:pStyle w:val="Compact"/>
            </w:pPr>
            <w:r>
              <w:t xml:space="preserve">Réserve levée</w:t>
            </w:r>
          </w:p>
        </w:tc>
        <w:tc>
          <w:tcPr>
            <w:tcW w:w="1199" w:type="dxa"/>
          </w:tcPr>
          <w:p>
            <w:pPr>
              <w:pStyle w:val="Compact"/>
            </w:pPr>
            <w:r>
              <w:t xml:space="preserve">À renseigner</w:t>
            </w:r>
          </w:p>
        </w:tc>
      </w:tr>
      <w:tr>
        <w:trPr>
          <w:cantSplit/>
          <w:trHeight w:val="380" w:hRule="atLeast"/>
        </w:trPr>
        <w:tc>
          <w:tcPr>
            <w:tcW w:w="899" w:type="dxa"/>
          </w:tcPr>
          <w:p>
            <w:pPr>
              <w:pStyle w:val="Compact"/>
            </w:pPr>
            <w:r>
              <w:t xml:space="preserve">02</w:t>
            </w:r>
            <w:r>
              <w:br/>
            </w:r>
            <w:r>
              <w:t xml:space="preserve">Exemple</w:t>
            </w:r>
          </w:p>
        </w:tc>
        <w:tc>
          <w:tcPr>
            <w:tcW w:w="1399" w:type="dxa"/>
          </w:tcPr>
          <w:p>
            <w:pPr>
              <w:pStyle w:val="Compact"/>
            </w:pPr>
            <w:r>
              <w:t xml:space="preserve">Site B, équipement CVC</w:t>
            </w:r>
          </w:p>
        </w:tc>
        <w:tc>
          <w:tcPr>
            <w:tcW w:w="1399" w:type="dxa"/>
          </w:tcPr>
          <w:p>
            <w:pPr>
              <w:pStyle w:val="Compact"/>
            </w:pPr>
            <w:r>
              <w:t xml:space="preserve">Performance attendue non atteinte</w:t>
            </w:r>
          </w:p>
        </w:tc>
        <w:tc>
          <w:tcPr>
            <w:tcW w:w="1299" w:type="dxa"/>
          </w:tcPr>
          <w:p>
            <w:pPr>
              <w:pStyle w:val="Compact"/>
            </w:pPr>
            <w:r>
              <w:t xml:space="preserve">Réglage annoncé</w:t>
            </w:r>
          </w:p>
        </w:tc>
        <w:tc>
          <w:tcPr>
            <w:tcW w:w="1299" w:type="dxa"/>
          </w:tcPr>
          <w:p>
            <w:pPr>
              <w:pStyle w:val="Compact"/>
            </w:pPr>
            <w:r>
              <w:t xml:space="preserve">Mesure toujours non conforme</w:t>
            </w:r>
          </w:p>
        </w:tc>
        <w:tc>
          <w:tcPr>
            <w:tcW w:w="1299" w:type="dxa"/>
          </w:tcPr>
          <w:p>
            <w:pPr>
              <w:pStyle w:val="Compact"/>
            </w:pPr>
            <w:r>
              <w:t xml:space="preserve">Rapport de mesure</w:t>
            </w:r>
          </w:p>
        </w:tc>
        <w:tc>
          <w:tcPr>
            <w:tcW w:w="1299" w:type="dxa"/>
          </w:tcPr>
          <w:p>
            <w:pPr>
              <w:pStyle w:val="Compact"/>
            </w:pPr>
            <w:r>
              <w:t xml:space="preserve">Réserve maintenue</w:t>
            </w:r>
          </w:p>
        </w:tc>
        <w:tc>
          <w:tcPr>
            <w:tcW w:w="1199" w:type="dxa"/>
          </w:tcPr>
          <w:p>
            <w:pPr>
              <w:pStyle w:val="Compact"/>
            </w:pPr>
            <w:r>
              <w:t xml:space="preserve">À renseigner</w:t>
            </w: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r>
        <w:trPr>
          <w:cantSplit/>
          <w:trHeight w:val="520" w:hRule="atLeast"/>
        </w:trPr>
        <w:tc>
          <w:tcPr>
            <w:tcW w:w="899" w:type="dxa"/>
          </w:tcPr>
          <w:p>
            <w:pPr>
              <w:pStyle w:val="Compact"/>
            </w:pPr>
          </w:p>
        </w:tc>
        <w:tc>
          <w:tcPr>
            <w:tcW w:w="1399" w:type="dxa"/>
          </w:tcPr>
          <w:p>
            <w:pPr>
              <w:pStyle w:val="Compact"/>
            </w:pPr>
          </w:p>
        </w:tc>
        <w:tc>
          <w:tcPr>
            <w:tcW w:w="13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299" w:type="dxa"/>
          </w:tcPr>
          <w:p>
            <w:pPr>
              <w:pStyle w:val="Compact"/>
            </w:pPr>
          </w:p>
        </w:tc>
        <w:tc>
          <w:tcPr>
            <w:tcW w:w="1199" w:type="dxa"/>
          </w:tcPr>
          <w:p>
            <w:pPr>
              <w:pStyle w:val="Compact"/>
            </w:pPr>
          </w:p>
        </w:tc>
      </w:tr>
    </w:tbl>
    <w:p>
      <w:pPr>
        <w:pStyle w:val="BodyText"/>
      </w:pPr>
      <w:r>
        <w:t xml:space="preserve">Ajouter des lignes ou une feuille annexe numérotée si nécessaire. Chaque réserve conserve le numéro qu'elle porte dans le procès-verbal de réception.</w:t>
      </w:r>
    </w:p>
    <w:bookmarkStart w:id="11" w:name="Xc30eb5eb03b10a890a6b53c3d378202bd844f4b"/>
    <w:p>
      <w:pPr>
        <w:pStyle w:val="Heading3"/>
      </w:pPr>
      <w:r>
        <w:t xml:space="preserve">Statuts à utiliser dans la colonne « Statut »</w:t>
      </w:r>
    </w:p>
    <w:tbl>
      <w:tblPr>
        <w:tblStyle w:val="Table"/>
        <w:tblW w:type="dxa" w:w="10092"/>
        <w:tblBorders>
          <w:top w:val="single" w:sz="4" w:space="0" w:color="C9BFAF"/>
          <w:left w:val="single" w:sz="4" w:space="0" w:color="C9BFAF"/>
          <w:bottom w:val="single" w:sz="4" w:space="0" w:color="C9BFAF"/>
          <w:right w:val="single" w:sz="4" w:space="0" w:color="C9BFAF"/>
          <w:insideH w:val="single" w:sz="4" w:space="0" w:color="C9BFAF"/>
          <w:insideV w:val="single" w:sz="4" w:space="0" w:color="C9BFAF"/>
        </w:tblBorders>
        <w:tblLayout w:type="fixed"/>
        <w:tblLook w:firstRow="1" w:lastRow="0" w:firstColumn="0" w:lastColumn="0" w:noHBand="0" w:noVBand="0" w:val="0020"/>
      </w:tblPr>
      <w:tblGrid>
        <w:gridCol w:w="2421"/>
        <w:gridCol w:w="7671"/>
      </w:tblGrid>
      <w:tr>
        <w:trPr>
          <w:tblHeader w:val="on"/>
        </w:trPr>
        <w:tc>
          <w:tcPr>
            <w:tcW w:w="2421" w:type="dxa"/>
            <w:shd w:val="clear" w:color="auto" w:fill="071C4D"/>
          </w:tcPr>
          <w:p>
            <w:pPr>
              <w:pStyle w:val="Compact"/>
            </w:pPr>
            <w:r>
              <w:rPr>
                <w:b/>
                <w:color w:val="FFFFFF"/>
                <w:sz w:val="16"/>
              </w:rPr>
              <w:t xml:space="preserve">Statut</w:t>
            </w:r>
          </w:p>
        </w:tc>
        <w:tc>
          <w:tcPr>
            <w:tcW w:w="7671" w:type="dxa"/>
            <w:shd w:val="clear" w:color="auto" w:fill="071C4D"/>
          </w:tcPr>
          <w:p>
            <w:pPr>
              <w:pStyle w:val="Compact"/>
            </w:pPr>
            <w:r>
              <w:rPr>
                <w:b/>
                <w:color w:val="FFFFFF"/>
                <w:sz w:val="16"/>
              </w:rPr>
              <w:t xml:space="preserve">Condition d'attribution</w:t>
            </w:r>
          </w:p>
        </w:tc>
      </w:tr>
      <w:tr>
        <w:trPr>
          <w:cantSplit/>
          <w:trHeight w:val="380" w:hRule="atLeast"/>
        </w:trPr>
        <w:tc>
          <w:tcPr>
            <w:tcW w:w="2421" w:type="dxa"/>
          </w:tcPr>
          <w:p>
            <w:pPr>
              <w:pStyle w:val="Compact"/>
            </w:pPr>
            <w:r>
              <w:rPr>
                <w:b/>
                <w:bCs/>
              </w:rPr>
              <w:t xml:space="preserve">Réserve levée</w:t>
            </w:r>
          </w:p>
        </w:tc>
        <w:tc>
          <w:tcPr>
            <w:tcW w:w="7671" w:type="dxa"/>
          </w:tcPr>
          <w:p>
            <w:pPr>
              <w:pStyle w:val="Compact"/>
            </w:pPr>
            <w:r>
              <w:t xml:space="preserve">Point accepté : la correction a été contrôlée et elle est conforme.</w:t>
            </w:r>
          </w:p>
        </w:tc>
      </w:tr>
      <w:tr>
        <w:trPr>
          <w:cantSplit/>
          <w:trHeight w:val="380" w:hRule="atLeast"/>
        </w:trPr>
        <w:tc>
          <w:tcPr>
            <w:tcW w:w="2421" w:type="dxa"/>
          </w:tcPr>
          <w:p>
            <w:pPr>
              <w:pStyle w:val="Compact"/>
            </w:pPr>
            <w:r>
              <w:rPr>
                <w:b/>
                <w:bCs/>
              </w:rPr>
              <w:t xml:space="preserve">Levée partielle</w:t>
            </w:r>
          </w:p>
        </w:tc>
        <w:tc>
          <w:tcPr>
            <w:tcW w:w="7671" w:type="dxa"/>
          </w:tcPr>
          <w:p>
            <w:pPr>
              <w:pStyle w:val="Compact"/>
            </w:pPr>
            <w:r>
              <w:t xml:space="preserve">Certains éléments sont validés, d'autres restent à reprendre. Préciser dans la colonne « Contrôle réalisé » les éléments acceptés et ceux restant à reprendre.</w:t>
            </w:r>
          </w:p>
        </w:tc>
      </w:tr>
      <w:tr>
        <w:trPr>
          <w:cantSplit/>
          <w:trHeight w:val="380" w:hRule="atLeast"/>
        </w:trPr>
        <w:tc>
          <w:tcPr>
            <w:tcW w:w="2421" w:type="dxa"/>
          </w:tcPr>
          <w:p>
            <w:pPr>
              <w:pStyle w:val="Compact"/>
            </w:pPr>
            <w:r>
              <w:rPr>
                <w:b/>
                <w:bCs/>
              </w:rPr>
              <w:t xml:space="preserve">Réserve maintenue</w:t>
            </w:r>
          </w:p>
        </w:tc>
        <w:tc>
          <w:tcPr>
            <w:tcW w:w="7671" w:type="dxa"/>
          </w:tcPr>
          <w:p>
            <w:pPr>
              <w:pStyle w:val="Compact"/>
            </w:pPr>
            <w:r>
              <w:t xml:space="preserve">Point maintenu : la correction est absente, incomplète ou non conforme. Le motif du maintien est indiqué dans la colonne « Contrôle réalisé ».</w:t>
            </w:r>
          </w:p>
        </w:tc>
      </w:tr>
    </w:tbl>
    <w:bookmarkEnd w:id="11"/>
    <w:bookmarkEnd w:id="12"/>
    <w:bookmarkStart w:id="13" w:name="pièces-justificatives-jointes"/>
    <w:p>
      <w:pPr>
        <w:pStyle w:val="Heading2"/>
      </w:pPr>
      <w:r>
        <w:t xml:space="preserve">4</w:t>
      </w:r>
      <w:r>
        <w:t xml:space="preserve"> </w:t>
      </w:r>
      <w:r>
        <w:t xml:space="preserve">Pièces justificatives jointes</w:t>
      </w:r>
    </w:p>
    <w:p>
      <w:pPr>
        <w:pStyle w:val="FirstParagraph"/>
      </w:pPr>
      <w:r>
        <w:t xml:space="preserve">Chaque pièce est rattachée à la ligne du tableau qu'elle justifie. Nombre total de pièces jointes : …………</w:t>
      </w:r>
    </w:p>
    <w:p>
      <w:pPr>
        <w:pStyle w:val="Compact"/>
        <w:numPr>
          <w:ilvl w:val="0"/>
          <w:numId w:val="1001"/>
        </w:numPr>
      </w:pPr>
      <w:r>
        <w:rPr>
          <w:b/>
          <w:bCs/>
        </w:rPr>
        <w:t xml:space="preserve">Photos avant et après intervention</w:t>
      </w:r>
      <w:r>
        <w:t xml:space="preserve"> </w:t>
      </w:r>
      <w:r>
        <w:t xml:space="preserve">: réserves n° ……………………………………………………</w:t>
      </w:r>
    </w:p>
    <w:p>
      <w:pPr>
        <w:pStyle w:val="Compact"/>
        <w:numPr>
          <w:ilvl w:val="0"/>
          <w:numId w:val="1001"/>
        </w:numPr>
      </w:pPr>
      <w:r>
        <w:rPr>
          <w:b/>
          <w:bCs/>
        </w:rPr>
        <w:t xml:space="preserve">Rapports de contrôle ou de mesure</w:t>
      </w:r>
      <w:r>
        <w:t xml:space="preserve"> </w:t>
      </w:r>
      <w:r>
        <w:t xml:space="preserve">: réserves n° ……………………………………………………</w:t>
      </w:r>
    </w:p>
    <w:p>
      <w:pPr>
        <w:pStyle w:val="Compact"/>
        <w:numPr>
          <w:ilvl w:val="0"/>
          <w:numId w:val="1001"/>
        </w:numPr>
      </w:pPr>
      <w:r>
        <w:rPr>
          <w:b/>
          <w:bCs/>
        </w:rPr>
        <w:t xml:space="preserve">Constats portant sur l'équipement ou le lot technique</w:t>
      </w:r>
      <w:r>
        <w:t xml:space="preserve"> </w:t>
      </w:r>
      <w:r>
        <w:t xml:space="preserve">: réserves n° ……………………………………</w:t>
      </w:r>
    </w:p>
    <w:p>
      <w:pPr>
        <w:pStyle w:val="Compact"/>
        <w:numPr>
          <w:ilvl w:val="0"/>
          <w:numId w:val="1001"/>
        </w:numPr>
      </w:pPr>
      <w:r>
        <w:rPr>
          <w:b/>
          <w:bCs/>
        </w:rPr>
        <w:t xml:space="preserve">Attestations et autres pièces utiles à la réception</w:t>
      </w:r>
      <w:r>
        <w:t xml:space="preserve"> </w:t>
      </w:r>
      <w:r>
        <w:t xml:space="preserve">: réserves n° ……………………………………………</w:t>
      </w:r>
    </w:p>
    <w:bookmarkEnd w:id="13"/>
    <w:bookmarkStart w:id="14" w:name="Xbcde6780dfee467698c6d23110f45fb92578163"/>
    <w:p>
      <w:pPr>
        <w:pStyle w:val="Heading2"/>
      </w:pPr>
      <w:r>
        <w:t xml:space="preserve">5</w:t>
      </w:r>
      <w:r>
        <w:t xml:space="preserve"> </w:t>
      </w:r>
      <w:r>
        <w:t xml:space="preserve">Réserves maintenues ou partiellement levées</w:t>
      </w:r>
    </w:p>
    <w:tbl>
      <w:tblPr>
        <w:tblStyle w:val="Table"/>
        <w:tblW w:type="dxa" w:w="10092"/>
        <w:tblBorders>
          <w:top w:val="single" w:sz="4" w:space="0" w:color="C9BFAF"/>
          <w:left w:val="single" w:sz="4" w:space="0" w:color="C9BFAF"/>
          <w:bottom w:val="single" w:sz="4" w:space="0" w:color="C9BFAF"/>
          <w:right w:val="single" w:sz="4" w:space="0" w:color="C9BFAF"/>
          <w:insideH w:val="single" w:sz="4" w:space="0" w:color="C9BFAF"/>
          <w:insideV w:val="single" w:sz="4" w:space="0" w:color="C9BFAF"/>
        </w:tblBorders>
        <w:tblLayout w:type="fixed"/>
        <w:tblLook w:firstRow="0" w:lastRow="0" w:firstColumn="0" w:lastColumn="0" w:noHBand="0" w:noVBand="0" w:val="0000"/>
      </w:tblPr>
      <w:tblGrid>
        <w:gridCol w:w="2422"/>
        <w:gridCol w:w="2523"/>
        <w:gridCol w:w="2523"/>
        <w:gridCol w:w="2624"/>
      </w:tblGrid>
      <w:tr>
        <w:trPr>
          <w:cantSplit/>
          <w:trHeight w:val="380" w:hRule="atLeast"/>
        </w:trPr>
        <w:tc>
          <w:tcPr>
            <w:tcW w:w="2422" w:type="dxa"/>
            <w:shd w:val="clear" w:color="auto" w:fill="F6F1EA"/>
          </w:tcPr>
          <w:p>
            <w:pPr>
              <w:pStyle w:val="Compact"/>
            </w:pPr>
            <w:r>
              <w:t xml:space="preserve">Réserves concernées</w:t>
            </w:r>
          </w:p>
        </w:tc>
        <w:tc>
          <w:tcPr>
            <w:tcW w:w="7670" w:type="dxa"/>
            <w:gridSpan w:val="3"/>
          </w:tcPr>
          <w:p>
            <w:pPr>
              <w:pStyle w:val="Compact"/>
            </w:pPr>
            <w:r>
              <w:t xml:space="preserve">N° :</w:t>
            </w:r>
          </w:p>
        </w:tc>
      </w:tr>
      <w:tr>
        <w:trPr>
          <w:cantSplit/>
          <w:trHeight w:val="380" w:hRule="atLeast"/>
        </w:trPr>
        <w:tc>
          <w:tcPr>
            <w:tcW w:w="2422" w:type="dxa"/>
            <w:shd w:val="clear" w:color="auto" w:fill="F6F1EA"/>
          </w:tcPr>
          <w:p>
            <w:pPr>
              <w:pStyle w:val="Compact"/>
            </w:pPr>
            <w:r>
              <w:t xml:space="preserve">Délai de reprise convenu</w:t>
            </w:r>
          </w:p>
        </w:tc>
        <w:tc>
          <w:tcPr>
            <w:tcW w:w="7670" w:type="dxa"/>
            <w:gridSpan w:val="3"/>
          </w:tcPr>
          <w:p>
            <w:pPr>
              <w:pStyle w:val="Compact"/>
            </w:pPr>
            <w:r>
              <w:t xml:space="preserve"> </w:t>
            </w:r>
          </w:p>
        </w:tc>
      </w:tr>
      <w:tr>
        <w:trPr>
          <w:cantSplit/>
          <w:trHeight w:val="380" w:hRule="atLeast"/>
        </w:trPr>
        <w:tc>
          <w:tcPr>
            <w:tcW w:w="2422" w:type="dxa"/>
            <w:shd w:val="clear" w:color="auto" w:fill="F6F1EA"/>
          </w:tcPr>
          <w:p>
            <w:pPr>
              <w:pStyle w:val="Compact"/>
            </w:pPr>
            <w:r>
              <w:t xml:space="preserve">Date du nouveau contrôle</w:t>
            </w:r>
          </w:p>
        </w:tc>
        <w:tc>
          <w:tcPr>
            <w:tcW w:w="7670" w:type="dxa"/>
            <w:gridSpan w:val="3"/>
          </w:tcPr>
          <w:p>
            <w:pPr>
              <w:pStyle w:val="Compact"/>
            </w:pPr>
            <w:r>
              <w:t xml:space="preserve"> </w:t>
            </w:r>
          </w:p>
        </w:tc>
      </w:tr>
      <w:tr>
        <w:trPr>
          <w:cantSplit/>
          <w:trHeight w:val="380" w:hRule="atLeast"/>
        </w:trPr>
        <w:tc>
          <w:tcPr>
            <w:tcW w:w="2422" w:type="dxa"/>
            <w:shd w:val="clear" w:color="auto" w:fill="F6F1EA"/>
          </w:tcPr>
          <w:p>
            <w:pPr>
              <w:pStyle w:val="Compact"/>
            </w:pPr>
            <w:r>
              <w:t xml:space="preserve">Observations</w:t>
            </w:r>
          </w:p>
        </w:tc>
        <w:tc>
          <w:tcPr>
            <w:tcW w:w="7670" w:type="dxa"/>
            <w:gridSpan w:val="3"/>
          </w:tcPr>
          <w:p>
            <w:pPr>
              <w:pStyle w:val="Compact"/>
            </w:pPr>
            <w:r>
              <w:t xml:space="preserve"> </w:t>
            </w:r>
          </w:p>
        </w:tc>
      </w:tr>
    </w:tbl>
    <w:p>
      <w:pPr>
        <w:pStyle w:val="BodyText"/>
      </w:pPr>
      <w:r>
        <w:t xml:space="preserve">La levée partielle d'une réserve ne proroge pas la garantie de parfait achèvement, qui court pendant un an à compter de la réception.</w:t>
      </w:r>
    </w:p>
    <w:bookmarkEnd w:id="14"/>
    <w:bookmarkStart w:id="15" w:name="formule-de-clôture"/>
    <w:p>
      <w:pPr>
        <w:pStyle w:val="Heading2"/>
      </w:pPr>
      <w:r>
        <w:t xml:space="preserve">6</w:t>
      </w:r>
      <w:r>
        <w:t xml:space="preserve"> </w:t>
      </w:r>
      <w:r>
        <w:t xml:space="preserve">Formule de clôture</w:t>
      </w:r>
    </w:p>
    <w:p>
      <w:pPr>
        <w:pStyle w:val="FirstParagraph"/>
      </w:pPr>
      <w:r>
        <w:t xml:space="preserve">Après contrôle contradictoire des corrections déclarées, les points identifiés dans le présent procès-verbal sont acceptés, partiellement acceptés ou maintenus selon les statuts figurant dans le tableau.</w:t>
      </w:r>
    </w:p>
    <w:p>
      <w:pPr>
        <w:pStyle w:val="BodyText"/>
      </w:pPr>
      <w:r>
        <w:t xml:space="preserve">Fait à ………………………………………………, le ……… / ……… / …………, en ……… exemplaires originaux.</w:t>
      </w:r>
    </w:p>
    <w:bookmarkEnd w:id="15"/>
    <w:bookmarkStart w:id="17" w:name="signatures"/>
    <w:p>
      <w:pPr>
        <w:pStyle w:val="Heading2"/>
      </w:pPr>
      <w:r>
        <w:t xml:space="preserve">7</w:t>
      </w:r>
      <w:r>
        <w:t xml:space="preserve"> </w:t>
      </w:r>
      <w:r>
        <w:t xml:space="preserve">Signatures</w:t>
      </w:r>
    </w:p>
    <w:tbl>
      <w:tblPr>
        <w:tblStyle w:val="Table"/>
        <w:tblW w:type="dxa" w:w="10092"/>
        <w:tblBorders>
          <w:top w:val="single" w:sz="4" w:space="0" w:color="C9BFAF"/>
          <w:left w:val="single" w:sz="4" w:space="0" w:color="C9BFAF"/>
          <w:bottom w:val="single" w:sz="4" w:space="0" w:color="C9BFAF"/>
          <w:right w:val="single" w:sz="4" w:space="0" w:color="C9BFAF"/>
          <w:insideH w:val="single" w:sz="4" w:space="0" w:color="C9BFAF"/>
          <w:insideV w:val="single" w:sz="4" w:space="0" w:color="C9BFAF"/>
        </w:tblBorders>
        <w:tblLayout w:type="fixed"/>
        <w:tblLook w:firstRow="1" w:lastRow="0" w:firstColumn="0" w:lastColumn="0" w:noHBand="0" w:noVBand="0" w:val="0020"/>
      </w:tblPr>
      <w:tblGrid>
        <w:gridCol w:w="2220"/>
        <w:gridCol w:w="2624"/>
        <w:gridCol w:w="2624"/>
        <w:gridCol w:w="2624"/>
      </w:tblGrid>
      <w:tr>
        <w:trPr>
          <w:tblHeader w:val="on"/>
        </w:trPr>
        <w:tc>
          <w:tcPr>
            <w:tcW w:w="2220" w:type="dxa"/>
            <w:shd w:val="clear" w:color="auto" w:fill="071C4D"/>
          </w:tcPr>
          <w:p>
            <w:pPr>
              <w:pStyle w:val="Compact"/>
            </w:pPr>
          </w:p>
        </w:tc>
        <w:tc>
          <w:tcPr>
            <w:tcW w:w="2624" w:type="dxa"/>
            <w:shd w:val="clear" w:color="auto" w:fill="071C4D"/>
          </w:tcPr>
          <w:p>
            <w:pPr>
              <w:pStyle w:val="Compact"/>
            </w:pPr>
            <w:r>
              <w:rPr>
                <w:b/>
                <w:color w:val="FFFFFF"/>
                <w:sz w:val="16"/>
              </w:rPr>
              <w:t xml:space="preserve">Maître d'ouvrage ou représentant</w:t>
            </w:r>
          </w:p>
        </w:tc>
        <w:tc>
          <w:tcPr>
            <w:tcW w:w="2624" w:type="dxa"/>
            <w:shd w:val="clear" w:color="auto" w:fill="071C4D"/>
          </w:tcPr>
          <w:p>
            <w:pPr>
              <w:pStyle w:val="Compact"/>
            </w:pPr>
            <w:r>
              <w:rPr>
                <w:b/>
                <w:color w:val="FFFFFF"/>
                <w:sz w:val="16"/>
              </w:rPr>
              <w:t xml:space="preserve">Titulaire du lot</w:t>
            </w:r>
          </w:p>
        </w:tc>
        <w:tc>
          <w:tcPr>
            <w:tcW w:w="2624" w:type="dxa"/>
            <w:shd w:val="clear" w:color="auto" w:fill="071C4D"/>
          </w:tcPr>
          <w:p>
            <w:pPr>
              <w:pStyle w:val="Compact"/>
            </w:pPr>
            <w:r>
              <w:rPr>
                <w:b/>
                <w:color w:val="FFFFFF"/>
                <w:sz w:val="16"/>
              </w:rPr>
              <w:t xml:space="preserve">Maître d'œuvre, s'il intervient</w:t>
            </w:r>
          </w:p>
        </w:tc>
      </w:tr>
      <w:tr>
        <w:trPr>
          <w:cantSplit/>
          <w:trHeight w:val="380" w:hRule="atLeast"/>
        </w:trPr>
        <w:tc>
          <w:tcPr>
            <w:tcW w:w="2220" w:type="dxa"/>
          </w:tcPr>
          <w:p>
            <w:pPr>
              <w:pStyle w:val="Compact"/>
            </w:pPr>
            <w:r>
              <w:rPr>
                <w:b/>
                <w:bCs/>
              </w:rPr>
              <w:t xml:space="preserve">Nom</w:t>
            </w:r>
          </w:p>
        </w:tc>
        <w:tc>
          <w:tcPr>
            <w:tcW w:w="2624" w:type="dxa"/>
          </w:tcPr>
          <w:p>
            <w:pPr>
              <w:pStyle w:val="Compact"/>
            </w:pPr>
          </w:p>
        </w:tc>
        <w:tc>
          <w:tcPr>
            <w:tcW w:w="2624" w:type="dxa"/>
          </w:tcPr>
          <w:p>
            <w:pPr>
              <w:pStyle w:val="Compact"/>
            </w:pPr>
          </w:p>
        </w:tc>
        <w:tc>
          <w:tcPr>
            <w:tcW w:w="2624" w:type="dxa"/>
          </w:tcPr>
          <w:p>
            <w:pPr>
              <w:pStyle w:val="Compact"/>
            </w:pPr>
          </w:p>
        </w:tc>
      </w:tr>
      <w:tr>
        <w:trPr>
          <w:cantSplit/>
          <w:trHeight w:val="380" w:hRule="atLeast"/>
        </w:trPr>
        <w:tc>
          <w:tcPr>
            <w:tcW w:w="2220" w:type="dxa"/>
          </w:tcPr>
          <w:p>
            <w:pPr>
              <w:pStyle w:val="Compact"/>
            </w:pPr>
            <w:r>
              <w:rPr>
                <w:b/>
                <w:bCs/>
              </w:rPr>
              <w:t xml:space="preserve">Qualité</w:t>
            </w:r>
          </w:p>
        </w:tc>
        <w:tc>
          <w:tcPr>
            <w:tcW w:w="2624" w:type="dxa"/>
          </w:tcPr>
          <w:p>
            <w:pPr>
              <w:pStyle w:val="Compact"/>
            </w:pPr>
          </w:p>
        </w:tc>
        <w:tc>
          <w:tcPr>
            <w:tcW w:w="2624" w:type="dxa"/>
          </w:tcPr>
          <w:p>
            <w:pPr>
              <w:pStyle w:val="Compact"/>
            </w:pPr>
          </w:p>
        </w:tc>
        <w:tc>
          <w:tcPr>
            <w:tcW w:w="2624" w:type="dxa"/>
          </w:tcPr>
          <w:p>
            <w:pPr>
              <w:pStyle w:val="Compact"/>
            </w:pPr>
          </w:p>
        </w:tc>
      </w:tr>
      <w:tr>
        <w:trPr>
          <w:cantSplit/>
          <w:trHeight w:val="380" w:hRule="atLeast"/>
        </w:trPr>
        <w:tc>
          <w:tcPr>
            <w:tcW w:w="2220" w:type="dxa"/>
          </w:tcPr>
          <w:p>
            <w:pPr>
              <w:pStyle w:val="Compact"/>
            </w:pPr>
            <w:r>
              <w:rPr>
                <w:b/>
                <w:bCs/>
              </w:rPr>
              <w:t xml:space="preserve">Date du constat</w:t>
            </w:r>
          </w:p>
        </w:tc>
        <w:tc>
          <w:tcPr>
            <w:tcW w:w="2624" w:type="dxa"/>
          </w:tcPr>
          <w:p>
            <w:pPr>
              <w:pStyle w:val="Compact"/>
            </w:pPr>
          </w:p>
        </w:tc>
        <w:tc>
          <w:tcPr>
            <w:tcW w:w="2624" w:type="dxa"/>
          </w:tcPr>
          <w:p>
            <w:pPr>
              <w:pStyle w:val="Compact"/>
            </w:pPr>
          </w:p>
        </w:tc>
        <w:tc>
          <w:tcPr>
            <w:tcW w:w="2624" w:type="dxa"/>
          </w:tcPr>
          <w:p>
            <w:pPr>
              <w:pStyle w:val="Compact"/>
            </w:pPr>
          </w:p>
        </w:tc>
      </w:tr>
      <w:tr>
        <w:trPr>
          <w:cantSplit/>
          <w:trHeight w:val="1100" w:hRule="atLeast"/>
        </w:trPr>
        <w:tc>
          <w:tcPr>
            <w:tcW w:w="2220" w:type="dxa"/>
          </w:tcPr>
          <w:p>
            <w:pPr>
              <w:pStyle w:val="Compact"/>
            </w:pPr>
            <w:r>
              <w:rPr>
                <w:b/>
                <w:bCs/>
              </w:rPr>
              <w:t xml:space="preserve">Signature</w:t>
            </w:r>
          </w:p>
        </w:tc>
        <w:tc>
          <w:tcPr>
            <w:tcW w:w="2624" w:type="dxa"/>
          </w:tcPr>
          <w:p>
            <w:pPr>
              <w:pStyle w:val="Compact"/>
            </w:pPr>
          </w:p>
        </w:tc>
        <w:tc>
          <w:tcPr>
            <w:tcW w:w="2624" w:type="dxa"/>
          </w:tcPr>
          <w:p>
            <w:pPr>
              <w:pStyle w:val="Compact"/>
            </w:pPr>
          </w:p>
        </w:tc>
        <w:tc>
          <w:tcPr>
            <w:tcW w:w="2624" w:type="dxa"/>
          </w:tcPr>
          <w:p>
            <w:pPr>
              <w:pStyle w:val="Compact"/>
            </w:pPr>
          </w:p>
        </w:tc>
      </w:tr>
    </w:tbl>
    <w:bookmarkStart w:id="16" w:name="en-cas-de-refus-de-signature"/>
    <w:p>
      <w:pPr>
        <w:pStyle w:val="Heading3"/>
      </w:pPr>
      <w:r>
        <w:t xml:space="preserve">En cas de refus de signature</w:t>
      </w:r>
    </w:p>
    <w:tbl>
      <w:tblPr>
        <w:tblStyle w:val="Table"/>
        <w:tblW w:type="dxa" w:w="10092"/>
        <w:tblBorders>
          <w:top w:val="single" w:sz="4" w:space="0" w:color="C9BFAF"/>
          <w:left w:val="single" w:sz="4" w:space="0" w:color="C9BFAF"/>
          <w:bottom w:val="single" w:sz="4" w:space="0" w:color="C9BFAF"/>
          <w:right w:val="single" w:sz="4" w:space="0" w:color="C9BFAF"/>
          <w:insideH w:val="single" w:sz="4" w:space="0" w:color="C9BFAF"/>
          <w:insideV w:val="single" w:sz="4" w:space="0" w:color="C9BFAF"/>
        </w:tblBorders>
        <w:tblLayout w:type="fixed"/>
        <w:tblLook w:firstRow="0" w:lastRow="0" w:firstColumn="0" w:lastColumn="0" w:noHBand="0" w:noVBand="0" w:val="0000"/>
      </w:tblPr>
      <w:tblGrid>
        <w:gridCol w:w="2422"/>
        <w:gridCol w:w="2523"/>
        <w:gridCol w:w="2523"/>
        <w:gridCol w:w="2624"/>
      </w:tblGrid>
      <w:tr>
        <w:trPr>
          <w:cantSplit/>
          <w:trHeight w:val="380" w:hRule="atLeast"/>
        </w:trPr>
        <w:tc>
          <w:tcPr>
            <w:tcW w:w="2422" w:type="dxa"/>
            <w:shd w:val="clear" w:color="auto" w:fill="F6F1EA"/>
          </w:tcPr>
          <w:p>
            <w:pPr>
              <w:pStyle w:val="Compact"/>
            </w:pPr>
            <w:r>
              <w:t xml:space="preserve">Partie refusant de signer</w:t>
            </w:r>
          </w:p>
        </w:tc>
        <w:tc>
          <w:tcPr>
            <w:tcW w:w="7670" w:type="dxa"/>
            <w:gridSpan w:val="3"/>
          </w:tcPr>
          <w:p>
            <w:pPr>
              <w:pStyle w:val="Compact"/>
            </w:pPr>
            <w:r>
              <w:t xml:space="preserve">Nom et qualité :</w:t>
            </w:r>
          </w:p>
        </w:tc>
      </w:tr>
      <w:tr>
        <w:trPr>
          <w:cantSplit/>
          <w:trHeight w:val="380" w:hRule="atLeast"/>
        </w:trPr>
        <w:tc>
          <w:tcPr>
            <w:tcW w:w="2422" w:type="dxa"/>
            <w:shd w:val="clear" w:color="auto" w:fill="F6F1EA"/>
          </w:tcPr>
          <w:p>
            <w:pPr>
              <w:pStyle w:val="Compact"/>
            </w:pPr>
            <w:r>
              <w:t xml:space="preserve">Motif du refus</w:t>
            </w:r>
          </w:p>
        </w:tc>
        <w:tc>
          <w:tcPr>
            <w:tcW w:w="7670" w:type="dxa"/>
            <w:gridSpan w:val="3"/>
          </w:tcPr>
          <w:p>
            <w:pPr>
              <w:pStyle w:val="Compact"/>
            </w:pPr>
            <w:r>
              <w:t xml:space="preserve"> </w:t>
            </w:r>
          </w:p>
        </w:tc>
      </w:tr>
      <w:tr>
        <w:trPr>
          <w:cantSplit/>
          <w:trHeight w:val="380" w:hRule="atLeast"/>
        </w:trPr>
        <w:tc>
          <w:tcPr>
            <w:tcW w:w="2422" w:type="dxa"/>
            <w:shd w:val="clear" w:color="auto" w:fill="F6F1EA"/>
          </w:tcPr>
          <w:p>
            <w:pPr>
              <w:pStyle w:val="Compact"/>
            </w:pPr>
            <w:r>
              <w:t xml:space="preserve">Désaccords et constats consignés</w:t>
            </w:r>
          </w:p>
        </w:tc>
        <w:tc>
          <w:tcPr>
            <w:tcW w:w="7670" w:type="dxa"/>
            <w:gridSpan w:val="3"/>
          </w:tcPr>
          <w:p>
            <w:pPr>
              <w:pStyle w:val="Compact"/>
            </w:pPr>
            <w:r>
              <w:t xml:space="preserve"> </w:t>
            </w:r>
          </w:p>
        </w:tc>
      </w:tr>
    </w:tbl>
    <w:bookmarkEnd w:id="16"/>
    <w:bookmarkEnd w:id="17"/>
    <w:bookmarkStart w:id="25" w:name="i-notice-dutilisation"/>
    <w:p>
      <w:pPr>
        <w:pStyle w:val="Heading2"/>
        <w:pageBreakBefore/>
      </w:pPr>
      <w:r>
        <w:t xml:space="preserve">Notice d'utilisation</w:t>
      </w:r>
    </w:p>
    <w:bookmarkStart w:id="18" w:name="cadre-du-document"/>
    <w:p>
      <w:pPr>
        <w:pStyle w:val="Heading3"/>
      </w:pPr>
      <w:r>
        <w:t xml:space="preserve">Cadre du document</w:t>
      </w:r>
    </w:p>
    <w:p>
      <w:pPr>
        <w:pStyle w:val="Compact"/>
        <w:numPr>
          <w:ilvl w:val="0"/>
          <w:numId w:val="1002"/>
        </w:numPr>
      </w:pPr>
      <w:r>
        <w:rPr>
          <w:b/>
          <w:bCs/>
        </w:rPr>
        <w:t xml:space="preserve">Réception</w:t>
      </w:r>
      <w:r>
        <w:t xml:space="preserve"> </w:t>
      </w:r>
      <w:r>
        <w:t xml:space="preserve">: l'article 1792-6 du Code civil définit la réception comme l'acte par lequel le maître de l'ouvrage accepte l'ouvrage avec ou sans réserves. C'est la réception, et non la levée ultérieure des réserves, qui fixe le point de départ des garanties.</w:t>
      </w:r>
    </w:p>
    <w:p>
      <w:pPr>
        <w:pStyle w:val="Compact"/>
        <w:numPr>
          <w:ilvl w:val="0"/>
          <w:numId w:val="1002"/>
        </w:numPr>
      </w:pPr>
      <w:r>
        <w:rPr>
          <w:b/>
          <w:bCs/>
        </w:rPr>
        <w:t xml:space="preserve">Garantie de parfait achèvement</w:t>
      </w:r>
      <w:r>
        <w:t xml:space="preserve"> </w:t>
      </w:r>
      <w:r>
        <w:t xml:space="preserve">: elle s'applique pendant un an à compter de la réception et oblige l'entrepreneur à réparer les désordres signalés lors de celle-ci ou notifiés pendant cette période. Une validation partielle ne proroge pas cette durée.</w:t>
      </w:r>
    </w:p>
    <w:p>
      <w:pPr>
        <w:pStyle w:val="Compact"/>
        <w:numPr>
          <w:ilvl w:val="0"/>
          <w:numId w:val="1002"/>
        </w:numPr>
      </w:pPr>
      <w:r>
        <w:rPr>
          <w:b/>
          <w:bCs/>
        </w:rPr>
        <w:t xml:space="preserve">Déclaration de l'entreprise</w:t>
      </w:r>
      <w:r>
        <w:t xml:space="preserve"> </w:t>
      </w:r>
      <w:r>
        <w:t xml:space="preserve">: elle ne suffit pas. Le maître d'ouvrage, le maître d'œuvre ou le représentant habilité vérifie les reprises et se prononce conformément au marché.</w:t>
      </w:r>
    </w:p>
    <w:p>
      <w:pPr>
        <w:pStyle w:val="Compact"/>
        <w:numPr>
          <w:ilvl w:val="0"/>
          <w:numId w:val="1002"/>
        </w:numPr>
      </w:pPr>
      <w:r>
        <w:rPr>
          <w:b/>
          <w:bCs/>
        </w:rPr>
        <w:t xml:space="preserve">Marché public (CCAG Travaux 2021)</w:t>
      </w:r>
      <w:r>
        <w:t xml:space="preserve"> </w:t>
      </w:r>
      <w:r>
        <w:t xml:space="preserve">: lorsque les formulaires de la direction des affaires juridiques sont utilisés, l'EXE8 est dressé par le maître d'œuvre pour constater l'exécution des reprises ; il ne vaut pas décision de clôture. Le maître d'ouvrage se prononce au vu de ce rapport et des propositions du maître d'œuvre portées dans l'EXE9.</w:t>
      </w:r>
    </w:p>
    <w:bookmarkEnd w:id="18"/>
    <w:bookmarkStart w:id="19" w:name="les-cinq-étapes-du-traitement"/>
    <w:p>
      <w:pPr>
        <w:pStyle w:val="Heading3"/>
      </w:pPr>
      <w:r>
        <w:t xml:space="preserve">Les cinq étapes du traitement</w:t>
      </w:r>
    </w:p>
    <w:tbl>
      <w:tblPr>
        <w:tblStyle w:val="Table"/>
        <w:tblW w:type="dxa" w:w="10092"/>
        <w:tblBorders>
          <w:top w:val="single" w:sz="4" w:space="0" w:color="C9BFAF"/>
          <w:left w:val="single" w:sz="4" w:space="0" w:color="C9BFAF"/>
          <w:bottom w:val="single" w:sz="4" w:space="0" w:color="C9BFAF"/>
          <w:right w:val="single" w:sz="4" w:space="0" w:color="C9BFAF"/>
          <w:insideH w:val="single" w:sz="4" w:space="0" w:color="C9BFAF"/>
          <w:insideV w:val="single" w:sz="4" w:space="0" w:color="C9BFAF"/>
        </w:tblBorders>
        <w:tblLayout w:type="fixed"/>
        <w:tblLook w:firstRow="1" w:lastRow="0" w:firstColumn="0" w:lastColumn="0" w:noHBand="0" w:noVBand="0" w:val="0020"/>
      </w:tblPr>
      <w:tblGrid>
        <w:gridCol w:w="1211"/>
        <w:gridCol w:w="8881"/>
      </w:tblGrid>
      <w:tr>
        <w:trPr>
          <w:tblHeader w:val="on"/>
        </w:trPr>
        <w:tc>
          <w:tcPr>
            <w:tcW w:w="1211" w:type="dxa"/>
            <w:shd w:val="clear" w:color="auto" w:fill="071C4D"/>
          </w:tcPr>
          <w:p>
            <w:pPr>
              <w:pStyle w:val="Compact"/>
            </w:pPr>
            <w:r>
              <w:rPr>
                <w:b/>
                <w:color w:val="FFFFFF"/>
                <w:sz w:val="16"/>
              </w:rPr>
              <w:t xml:space="preserve">Étape</w:t>
            </w:r>
          </w:p>
        </w:tc>
        <w:tc>
          <w:tcPr>
            <w:tcW w:w="8881" w:type="dxa"/>
            <w:shd w:val="clear" w:color="auto" w:fill="071C4D"/>
          </w:tcPr>
          <w:p>
            <w:pPr>
              <w:pStyle w:val="Compact"/>
            </w:pPr>
            <w:r>
              <w:rPr>
                <w:b/>
                <w:color w:val="FFFFFF"/>
                <w:sz w:val="16"/>
              </w:rPr>
              <w:t xml:space="preserve">Action</w:t>
            </w:r>
          </w:p>
        </w:tc>
      </w:tr>
      <w:tr>
        <w:trPr>
          <w:cantSplit/>
          <w:trHeight w:val="380" w:hRule="atLeast"/>
        </w:trPr>
        <w:tc>
          <w:tcPr>
            <w:tcW w:w="1211" w:type="dxa"/>
          </w:tcPr>
          <w:p>
            <w:pPr>
              <w:pStyle w:val="Compact"/>
            </w:pPr>
            <w:r>
              <w:rPr>
                <w:b/>
                <w:bCs/>
              </w:rPr>
              <w:t xml:space="preserve">1</w:t>
            </w:r>
          </w:p>
        </w:tc>
        <w:tc>
          <w:tcPr>
            <w:tcW w:w="8881" w:type="dxa"/>
          </w:tcPr>
          <w:p>
            <w:pPr>
              <w:pStyle w:val="Compact"/>
            </w:pPr>
            <w:r>
              <w:t xml:space="preserve">Le titulaire du lot déclare les corrections exécutées.</w:t>
            </w:r>
          </w:p>
        </w:tc>
      </w:tr>
      <w:tr>
        <w:trPr>
          <w:cantSplit/>
          <w:trHeight w:val="380" w:hRule="atLeast"/>
        </w:trPr>
        <w:tc>
          <w:tcPr>
            <w:tcW w:w="1211" w:type="dxa"/>
          </w:tcPr>
          <w:p>
            <w:pPr>
              <w:pStyle w:val="Compact"/>
            </w:pPr>
            <w:r>
              <w:rPr>
                <w:b/>
                <w:bCs/>
              </w:rPr>
              <w:t xml:space="preserve">2</w:t>
            </w:r>
          </w:p>
        </w:tc>
        <w:tc>
          <w:tcPr>
            <w:tcW w:w="8881" w:type="dxa"/>
          </w:tcPr>
          <w:p>
            <w:pPr>
              <w:pStyle w:val="Compact"/>
            </w:pPr>
            <w:r>
              <w:t xml:space="preserve">Un contrôle contradictoire est organisé sur le chantier.</w:t>
            </w:r>
          </w:p>
        </w:tc>
      </w:tr>
      <w:tr>
        <w:trPr>
          <w:cantSplit/>
          <w:trHeight w:val="380" w:hRule="atLeast"/>
        </w:trPr>
        <w:tc>
          <w:tcPr>
            <w:tcW w:w="1211" w:type="dxa"/>
          </w:tcPr>
          <w:p>
            <w:pPr>
              <w:pStyle w:val="Compact"/>
            </w:pPr>
            <w:r>
              <w:rPr>
                <w:b/>
                <w:bCs/>
              </w:rPr>
              <w:t xml:space="preserve">3</w:t>
            </w:r>
          </w:p>
        </w:tc>
        <w:tc>
          <w:tcPr>
            <w:tcW w:w="8881" w:type="dxa"/>
          </w:tcPr>
          <w:p>
            <w:pPr>
              <w:pStyle w:val="Compact"/>
            </w:pPr>
            <w:r>
              <w:t xml:space="preserve">Les photos, mesures et rapports sont associés aux points concernés.</w:t>
            </w:r>
          </w:p>
        </w:tc>
      </w:tr>
      <w:tr>
        <w:trPr>
          <w:cantSplit/>
          <w:trHeight w:val="380" w:hRule="atLeast"/>
        </w:trPr>
        <w:tc>
          <w:tcPr>
            <w:tcW w:w="1211" w:type="dxa"/>
          </w:tcPr>
          <w:p>
            <w:pPr>
              <w:pStyle w:val="Compact"/>
            </w:pPr>
            <w:r>
              <w:rPr>
                <w:b/>
                <w:bCs/>
              </w:rPr>
              <w:t xml:space="preserve">4</w:t>
            </w:r>
          </w:p>
        </w:tc>
        <w:tc>
          <w:tcPr>
            <w:tcW w:w="8881" w:type="dxa"/>
          </w:tcPr>
          <w:p>
            <w:pPr>
              <w:pStyle w:val="Compact"/>
            </w:pPr>
            <w:r>
              <w:t xml:space="preserve">L'acteur habilité accepte les travaux ou motive le maintien des réserves.</w:t>
            </w:r>
          </w:p>
        </w:tc>
      </w:tr>
      <w:tr>
        <w:trPr>
          <w:cantSplit/>
          <w:trHeight w:val="380" w:hRule="atLeast"/>
        </w:trPr>
        <w:tc>
          <w:tcPr>
            <w:tcW w:w="1211" w:type="dxa"/>
          </w:tcPr>
          <w:p>
            <w:pPr>
              <w:pStyle w:val="Compact"/>
            </w:pPr>
            <w:r>
              <w:rPr>
                <w:b/>
                <w:bCs/>
              </w:rPr>
              <w:t xml:space="preserve">5</w:t>
            </w:r>
          </w:p>
        </w:tc>
        <w:tc>
          <w:tcPr>
            <w:tcW w:w="8881" w:type="dxa"/>
          </w:tcPr>
          <w:p>
            <w:pPr>
              <w:pStyle w:val="Compact"/>
            </w:pPr>
            <w:r>
              <w:t xml:space="preserve">Le procès-verbal consigne la décision et les signatures.</w:t>
            </w:r>
          </w:p>
        </w:tc>
      </w:tr>
    </w:tbl>
    <w:bookmarkEnd w:id="19"/>
    <w:bookmarkStart w:id="20" w:name="rédiger-chaque-ligne-du-tableau"/>
    <w:p>
      <w:pPr>
        <w:pStyle w:val="Heading3"/>
      </w:pPr>
      <w:r>
        <w:t xml:space="preserve">Rédiger chaque ligne du tableau</w:t>
      </w:r>
    </w:p>
    <w:p>
      <w:pPr>
        <w:pStyle w:val="FirstParagraph"/>
      </w:pPr>
      <w:r>
        <w:t xml:space="preserve">Rattachez chaque désordre à un bâtiment, une zone, un équipement ou un lot technique précis. Reprenez la situation initiale, la correction apportée et le résultat du contrôle. Un libellé tel que « problème résolu » ne permet d'établir ni la nature des travaux ni leur conformité. Formulations possibles :</w:t>
      </w:r>
    </w:p>
    <w:p>
      <w:pPr>
        <w:pStyle w:val="Compact"/>
        <w:numPr>
          <w:ilvl w:val="0"/>
          <w:numId w:val="1003"/>
        </w:numPr>
      </w:pPr>
      <w:r>
        <w:rPr>
          <w:b/>
          <w:bCs/>
        </w:rPr>
        <w:t xml:space="preserve">Point accepté</w:t>
      </w:r>
      <w:r>
        <w:t xml:space="preserve"> </w:t>
      </w:r>
      <w:r>
        <w:t xml:space="preserve">: « Après vérification des travaux réalisés sur l'équipement ou dans la zone indiquée, la correction est conforme au résultat attendu. »</w:t>
      </w:r>
    </w:p>
    <w:p>
      <w:pPr>
        <w:pStyle w:val="Compact"/>
        <w:numPr>
          <w:ilvl w:val="0"/>
          <w:numId w:val="1003"/>
        </w:numPr>
      </w:pPr>
      <w:r>
        <w:rPr>
          <w:b/>
          <w:bCs/>
        </w:rPr>
        <w:t xml:space="preserve">Acceptation partielle</w:t>
      </w:r>
      <w:r>
        <w:t xml:space="preserve"> </w:t>
      </w:r>
      <w:r>
        <w:t xml:space="preserve">: « Les corrections portant sur les éléments traités sont acceptées. Les éléments restant à préciser doivent encore être repris. »</w:t>
      </w:r>
    </w:p>
    <w:p>
      <w:pPr>
        <w:pStyle w:val="Compact"/>
        <w:numPr>
          <w:ilvl w:val="0"/>
          <w:numId w:val="1003"/>
        </w:numPr>
      </w:pPr>
      <w:r>
        <w:rPr>
          <w:b/>
          <w:bCs/>
        </w:rPr>
        <w:t xml:space="preserve">Maintien motivé</w:t>
      </w:r>
      <w:r>
        <w:t xml:space="preserve"> </w:t>
      </w:r>
      <w:r>
        <w:t xml:space="preserve">: « Le point reste ouvert en raison d'une correction absente, incomplète ou non conforme concernant la localisation, l'équipement ou le lot indiqué. »</w:t>
      </w:r>
    </w:p>
    <w:bookmarkEnd w:id="20"/>
    <w:bookmarkStart w:id="21" w:name="Xae6c8ca18a264106917d42a13878930c16ba35d"/>
    <w:p>
      <w:pPr>
        <w:pStyle w:val="Heading3"/>
      </w:pPr>
      <w:r>
        <w:t xml:space="preserve">Fixer le délai de reprise des réserves maintenues</w:t>
      </w:r>
    </w:p>
    <w:p>
      <w:pPr>
        <w:pStyle w:val="Compact"/>
        <w:numPr>
          <w:ilvl w:val="0"/>
          <w:numId w:val="1004"/>
        </w:numPr>
      </w:pPr>
      <w:r>
        <w:rPr>
          <w:b/>
          <w:bCs/>
        </w:rPr>
        <w:t xml:space="preserve">Marché privé</w:t>
      </w:r>
      <w:r>
        <w:t xml:space="preserve"> </w:t>
      </w:r>
      <w:r>
        <w:t xml:space="preserve">: le délai est fixé d'un commun accord (article 1792-6 du Code civil). La norme NF P 03-001 de 2017 retient comme repère usuel 60 jours, sauf accord différent entre les parties.</w:t>
      </w:r>
    </w:p>
    <w:p>
      <w:pPr>
        <w:pStyle w:val="Compact"/>
        <w:numPr>
          <w:ilvl w:val="0"/>
          <w:numId w:val="1004"/>
        </w:numPr>
      </w:pPr>
      <w:r>
        <w:rPr>
          <w:b/>
          <w:bCs/>
        </w:rPr>
        <w:t xml:space="preserve">Marché public</w:t>
      </w:r>
      <w:r>
        <w:t xml:space="preserve"> </w:t>
      </w:r>
      <w:r>
        <w:t xml:space="preserve">: l'acheteur fixe normalement le délai dans la décision de réception. À défaut, les corrections doivent être exécutées au plus tard trois mois avant l'expiration de la période de garantie d'un an (articles 41.6 et 44.1 du CCAG Travaux 2021).</w:t>
      </w:r>
    </w:p>
    <w:p>
      <w:pPr>
        <w:pStyle w:val="Compact"/>
        <w:numPr>
          <w:ilvl w:val="0"/>
          <w:numId w:val="1004"/>
        </w:numPr>
      </w:pPr>
      <w:r>
        <w:rPr>
          <w:b/>
          <w:bCs/>
        </w:rPr>
        <w:t xml:space="preserve">Inexécution</w:t>
      </w:r>
      <w:r>
        <w:t xml:space="preserve"> </w:t>
      </w:r>
      <w:r>
        <w:t xml:space="preserve">: à défaut d'accord sur le délai ou en cas d'inexécution, adresser une mise en demeure à l'entrepreneur par lettre recommandée avec accusé de réception. Si elle reste infructueuse, les travaux peuvent être exécutés à ses frais et risques (article 1792-6 du Code civil).</w:t>
      </w:r>
    </w:p>
    <w:bookmarkEnd w:id="21"/>
    <w:bookmarkStart w:id="24" w:name="vérifier-avant-signature"/>
    <w:p>
      <w:pPr>
        <w:pStyle w:val="Heading3"/>
      </w:pPr>
      <w:r>
        <w:t xml:space="preserve">Vérifier avant signature</w:t>
      </w:r>
    </w:p>
    <w:p>
      <w:pPr>
        <w:pStyle w:val="Compact"/>
        <w:numPr>
          <w:ilvl w:val="0"/>
          <w:numId w:val="1005"/>
        </w:numPr>
      </w:pPr>
      <w:r>
        <w:t xml:space="preserve">Les références du chantier et de la réception.</w:t>
      </w:r>
    </w:p>
    <w:p>
      <w:pPr>
        <w:pStyle w:val="Compact"/>
        <w:numPr>
          <w:ilvl w:val="0"/>
          <w:numId w:val="1005"/>
        </w:numPr>
      </w:pPr>
      <w:r>
        <w:t xml:space="preserve">La localisation de chaque désordre.</w:t>
      </w:r>
    </w:p>
    <w:p>
      <w:pPr>
        <w:pStyle w:val="Compact"/>
        <w:numPr>
          <w:ilvl w:val="0"/>
          <w:numId w:val="1005"/>
        </w:numPr>
      </w:pPr>
      <w:r>
        <w:t xml:space="preserve">La description des corrections.</w:t>
      </w:r>
    </w:p>
    <w:p>
      <w:pPr>
        <w:pStyle w:val="Compact"/>
        <w:numPr>
          <w:ilvl w:val="0"/>
          <w:numId w:val="1005"/>
        </w:numPr>
      </w:pPr>
      <w:r>
        <w:t xml:space="preserve">Le résultat du contrôle.</w:t>
      </w:r>
    </w:p>
    <w:p>
      <w:pPr>
        <w:pStyle w:val="Compact"/>
        <w:numPr>
          <w:ilvl w:val="0"/>
          <w:numId w:val="1005"/>
        </w:numPr>
      </w:pPr>
      <w:r>
        <w:t xml:space="preserve">Les preuves associées.</w:t>
      </w:r>
    </w:p>
    <w:p>
      <w:pPr>
        <w:pStyle w:val="Compact"/>
        <w:numPr>
          <w:ilvl w:val="0"/>
          <w:numId w:val="1005"/>
        </w:numPr>
      </w:pPr>
      <w:r>
        <w:t xml:space="preserve">Le statut attribué à chaque point.</w:t>
      </w:r>
    </w:p>
    <w:p>
      <w:pPr>
        <w:pStyle w:val="Compact"/>
        <w:numPr>
          <w:ilvl w:val="0"/>
          <w:numId w:val="1005"/>
        </w:numPr>
      </w:pPr>
      <w:r>
        <w:t xml:space="preserve">L'identité et la qualité des signataires.</w:t>
      </w:r>
    </w:p>
    <w:p>
      <w:pPr>
        <w:pStyle w:val="Compact"/>
        <w:numPr>
          <w:ilvl w:val="0"/>
          <w:numId w:val="1005"/>
        </w:numPr>
      </w:pPr>
      <w:r>
        <w:t xml:space="preserve">Le motif d'un éventuel refus de signature.</w:t>
      </w:r>
    </w:p>
    <w:p>
      <w:pPr>
        <w:pStyle w:val="FirstParagraph"/>
      </w:pPr>
      <w:r>
        <w:t xml:space="preserve">Passer à l'action</w:t>
      </w:r>
    </w:p>
    <w:bookmarkStart w:id="23" w:name="X9a0a17475862e848f2c493de489516c65add517"/>
    <w:p>
      <w:pPr>
        <w:pStyle w:val="Heading4"/>
      </w:pPr>
      <w:r>
        <w:t xml:space="preserve">Vos sites méritent un pilotage cohérent et performant.</w:t>
      </w:r>
    </w:p>
    <w:p>
      <w:pPr>
        <w:pStyle w:val="FirstParagraph"/>
      </w:pPr>
      <w:r>
        <w:t xml:space="preserve">Harmony by Depanneo reprend votre parc, structure vos SLA et centralise le pilotage de votre maintenance sur l'ensemble de vos sites — partout en France. Demandez un audit de parc : on évalue vos installations et on cadre votre maintenance.</w:t>
      </w:r>
    </w:p>
    <w:p>
      <w:pPr>
        <w:pStyle w:val="BodyText"/>
      </w:pPr>
      <w:hyperlink r:id="rId22">
        <w:r>
          <w:rPr>
            <w:rStyle w:val="Hyperlink"/>
          </w:rPr>
          <w:t xml:space="preserve">Demander un audit de parc</w:t>
        </w:r>
      </w:hyperlink>
      <w:r>
        <w:t xml:space="preserve"> </w:t>
      </w:r>
      <w:r>
        <w:t xml:space="preserve">ou 09 72 19 64 14</w:t>
      </w:r>
    </w:p>
    <w:bookmarkEnd w:id="23"/>
    <w:bookmarkEnd w:id="24"/>
    <w:bookmarkEnd w:id="25"/>
    <w:bookmarkEnd w:id="26"/>
    <w:sectPr>
      <w:pgSz w:w="11906" w:h="16838"/>
      <w:pgMar w:top="907" w:right="907" w:bottom="1020" w:left="907" w:header="567" w:footer="567"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sz w:val="18"/>
      <w:szCs w:val="18"/>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71C4D"/>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71C4D"/>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C84A25"/>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C9BFAF" w:space="0" w:sz="4" w:val="single"/>
        <w:left w:color="C9BFAF" w:space="0" w:sz="4" w:val="single"/>
        <w:bottom w:color="C9BFAF" w:space="0" w:sz="4" w:val="single"/>
        <w:right w:color="C9BFAF" w:space="0" w:sz="4" w:val="single"/>
        <w:insideH w:color="C9BFAF" w:space="0" w:sz="4" w:val="single"/>
        <w:insideV w:color="C9BFAF" w:space="0" w:sz="4" w:val="single"/>
      </w:tblBorders>
      <w:tblCellMar>
        <w:top w:type="dxa" w:w="60"/>
        <w:left w:type="dxa" w:w="108"/>
        <w:bottom w:type="dxa" w:w="60"/>
        <w:right w:type="dxa" w:w="108"/>
      </w:tblCellMar>
    </w:tblPr>
    <w:tblStylePr w:type="firstRow">
      <w:rPr>
        <w:b/>
        <w:color w:val="FFFFFF"/>
      </w:rPr>
      <w:tcPr>
        <w:shd w:color="auto" w:fill="071C4D" w:val="clea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https://www.depanneo.com/harmony/contact/" TargetMode="External" /></Relationships>
</file>

<file path=word/_rels/footnotes.xml.rels><?xml version="1.0" encoding="UTF-8"?><Relationships xmlns="http://schemas.openxmlformats.org/package/2006/relationships"><Relationship Type="http://schemas.openxmlformats.org/officeDocument/2006/relationships/hyperlink" Id="rId22" Target="https://www.depanneo.com/harmony/cont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2026-10-05T14:32:16Z</dcterms:created>
  <dcterms:modified xsi:type="dcterms:W3CDTF">2026-10-05T14:32:16Z</dcterms:modified>
</cp:coreProperties>
</file>

<file path=docProps/custom.xml><?xml version="1.0" encoding="utf-8"?>
<Properties xmlns="http://schemas.openxmlformats.org/officeDocument/2006/custom-properties" xmlns:vt="http://schemas.openxmlformats.org/officeDocument/2006/docPropsVTypes"/>
</file>