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CUISINE PROFESSIONNELLE · TRAME CONTRACTUELLE &amp; CHECKLISTS</w:t>
      </w:r>
    </w:p>
    <w:bookmarkStart w:id="28" w:name="Xdbf2f668b2c7cc61949e0779cd1dac6c7e69f34"/>
    <w:p>
      <w:pPr>
        <w:pStyle w:val="Heading1"/>
      </w:pPr>
      <w:r>
        <w:t xml:space="preserve">Maintenance de cuisine professionnelle : contrat, préventif et dépannage</w:t>
      </w:r>
    </w:p>
    <w:p>
      <w:pPr>
        <w:pStyle w:val="FirstParagraph"/>
      </w:pPr>
      <w:r>
        <w:t xml:space="preserve">Un document de cadrage pour piloter la maintenance de vos cuisines sur l'ensemble de vos sites. Il combine deux outils : des trames de checklists d'entretien préventif par famille d'équipements, à standardiser d'un site à l'autre, et une grille de lecture de contrat pour comparer les offres de vos prestataires sur une même base. Objectif : un périmètre lisible, des fréquences homogènes et des niveaux de service que vous pouvez contrôler à distance.</w:t>
      </w:r>
    </w:p>
    <w:p>
      <w:pPr>
        <w:pStyle w:val="BodyText"/>
      </w:pPr>
      <w:r>
        <w:rPr>
          <w:b/>
          <w:bCs/>
        </w:rPr>
        <w:t xml:space="preserve">Important :</w:t>
      </w:r>
      <w:r>
        <w:t xml:space="preserve"> </w:t>
      </w:r>
      <w:r>
        <w:t xml:space="preserve">modèle fourni à titre indicatif, à faire valider juridiquement avant usage. Les fréquences réglementaires citées doivent être confrontées aux textes en vigueur et à votre configuration de site ; les fourchettes de délais et de prix sont des ordres de grandeur de marché, à valider avec vos prestataires.</w:t>
      </w:r>
    </w:p>
    <w:bookmarkStart w:id="9" w:name="article-1-objet"/>
    <w:p>
      <w:pPr>
        <w:pStyle w:val="Heading2"/>
      </w:pPr>
      <w:r>
        <w:t xml:space="preserve">1</w:t>
      </w:r>
      <w:r>
        <w:t xml:space="preserve"> </w:t>
      </w:r>
      <w:r>
        <w:t xml:space="preserve">Article 1 — Objet</w:t>
      </w:r>
    </w:p>
    <w:p>
      <w:pPr>
        <w:pStyle w:val="FirstParagraph"/>
      </w:pPr>
      <w:r>
        <w:t xml:space="preserve">Le présent document organise la maintenance des installations de cuisine professionnelle : production de froid, cuisson, ventilation et extraction des buées, plonge et traitement de l'eau, distribution des fluides (gaz, eau, électricité de puissance). Il distingue trois régimes complémentaires 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Maintenance préventive</w:t>
      </w:r>
      <w:r>
        <w:t xml:space="preserve"> </w:t>
      </w:r>
      <w:r>
        <w:t xml:space="preserve">— visites planifiées, contrôles périodiques, remplacement des consommables, opérations réglementaires de contrôle.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Maintenance corrective</w:t>
      </w:r>
      <w:r>
        <w:t xml:space="preserve"> </w:t>
      </w:r>
      <w:r>
        <w:t xml:space="preserve">— dépannage sur panne, remise en service, sécurisation de l'installation.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Obligations réglementaires</w:t>
      </w:r>
      <w:r>
        <w:t xml:space="preserve"> </w:t>
      </w:r>
      <w:r>
        <w:t xml:space="preserve">— contrôles dont la périodicité est imposée (extraction, fluides frigorigènes, gaz), à tracer dans le registre de sécurité.</w:t>
      </w:r>
    </w:p>
    <w:p>
      <w:pPr>
        <w:pStyle w:val="FirstParagraph"/>
      </w:pPr>
      <w:r>
        <w:t xml:space="preserve">Ce document sert à la fois de trame pour rédiger ou réviser un contrat et de grille de lecture pour comparer les offres reçues, site par site et à l'échelle du parc.</w:t>
      </w:r>
    </w:p>
    <w:bookmarkEnd w:id="9"/>
    <w:bookmarkStart w:id="10" w:name="article-2-périmètre-et-sites-concernés"/>
    <w:p>
      <w:pPr>
        <w:pStyle w:val="Heading2"/>
      </w:pPr>
      <w:r>
        <w:t xml:space="preserve">2</w:t>
      </w:r>
      <w:r>
        <w:t xml:space="preserve"> </w:t>
      </w:r>
      <w:r>
        <w:t xml:space="preserve">Article 2 — Périmètre et sites concernés</w:t>
      </w:r>
    </w:p>
    <w:p>
      <w:pPr>
        <w:pStyle w:val="FirstParagraph"/>
      </w:pPr>
      <w:r>
        <w:t xml:space="preserve">Le périmètre doit être décrit installation par installation, et non par formule globale. Pour chaque site, inventoriez les équipements couverts et leur état d'entrée.</w:t>
      </w:r>
    </w:p>
    <w:p>
      <w:pPr>
        <w:pStyle w:val="Compact"/>
        <w:numPr>
          <w:ilvl w:val="0"/>
          <w:numId w:val="1002"/>
        </w:numPr>
      </w:pPr>
      <w:r>
        <w:t xml:space="preserve">Liste des sites couverts : [À COMPLÉTER — adresses, surfaces de cuisine, plages d'ouverture].</w:t>
      </w:r>
    </w:p>
    <w:p>
      <w:pPr>
        <w:pStyle w:val="Compact"/>
        <w:numPr>
          <w:ilvl w:val="0"/>
          <w:numId w:val="1002"/>
        </w:numPr>
      </w:pPr>
      <w:r>
        <w:t xml:space="preserve">Inventaire des équipements par site : froid (chambres froides, armoires, vitrines, centrales), cuisson (fourneaux, fours mixtes, friteuses, plaques), ventilation (hottes, conduits, ventilateurs d'extraction, compensation d'air), plonge (lave-vaisselle, lave-batterie, adoucisseur), fluides (rampe gaz, organe de coupure, tableau électrique de cuisine).</w:t>
      </w:r>
    </w:p>
    <w:p>
      <w:pPr>
        <w:pStyle w:val="Compact"/>
        <w:numPr>
          <w:ilvl w:val="0"/>
          <w:numId w:val="1002"/>
        </w:numPr>
      </w:pPr>
      <w:r>
        <w:t xml:space="preserve">Référence d'identification de chaque équipement (étiquette, QR code, n° GMAO) : [À COMPLÉTER].</w:t>
      </w:r>
    </w:p>
    <w:p>
      <w:pPr>
        <w:pStyle w:val="Compact"/>
        <w:numPr>
          <w:ilvl w:val="0"/>
          <w:numId w:val="1002"/>
        </w:numPr>
      </w:pPr>
      <w:r>
        <w:t xml:space="preserve">État d'entrée constaté et réserves éventuelles (audit de parc préalable conseillé) : [À COMPLÉTER].</w:t>
      </w:r>
    </w:p>
    <w:p>
      <w:pPr>
        <w:pStyle w:val="Compact"/>
        <w:numPr>
          <w:ilvl w:val="0"/>
          <w:numId w:val="1002"/>
        </w:numPr>
      </w:pPr>
      <w:r>
        <w:t xml:space="preserve">Équipements explicitement exclus du contrat : [À COMPLÉTER].</w:t>
      </w:r>
    </w:p>
    <w:bookmarkEnd w:id="10"/>
    <w:bookmarkStart w:id="16" w:name="Xedb282d0ef757dddd24f3a018fc34f11366ea32"/>
    <w:p>
      <w:pPr>
        <w:pStyle w:val="Heading2"/>
      </w:pPr>
      <w:r>
        <w:t xml:space="preserve">3</w:t>
      </w:r>
      <w:r>
        <w:t xml:space="preserve"> </w:t>
      </w:r>
      <w:r>
        <w:t xml:space="preserve">Article 3 — Trames de checklists d'entretien préventif</w:t>
      </w:r>
    </w:p>
    <w:p>
      <w:pPr>
        <w:pStyle w:val="FirstParagraph"/>
      </w:pPr>
      <w:r>
        <w:t xml:space="preserve">Les trames ci-dessous standardisent les contrôles d'un site à l'autre. Les fréquences sont des points de départ : certaines découlent d'obligations réglementaires (signalées), d'autres de recommandations de marché à ajuster selon l'intensité d'usage, la dureté de l'eau et les préconisations des fabricants.</w:t>
      </w:r>
    </w:p>
    <w:bookmarkStart w:id="11" w:name="Xa6541e518859ec0ccf6403071939d65df2f6e1b"/>
    <w:p>
      <w:pPr>
        <w:pStyle w:val="Heading3"/>
      </w:pPr>
      <w:r>
        <w:t xml:space="preserve">3.1 — Froid commercial (chambres froides, armoires, vitrines)</w:t>
      </w:r>
    </w:p>
    <w:p>
      <w:pPr>
        <w:pStyle w:val="Compact"/>
        <w:numPr>
          <w:ilvl w:val="0"/>
          <w:numId w:val="1003"/>
        </w:numPr>
      </w:pPr>
      <w:r>
        <w:t xml:space="preserve">Relevé des températures et contrôle de la régulation à chaque visite (cohérence avec le plan de maîtrise sanitaire HACCP).</w:t>
      </w:r>
    </w:p>
    <w:p>
      <w:pPr>
        <w:pStyle w:val="Compact"/>
        <w:numPr>
          <w:ilvl w:val="0"/>
          <w:numId w:val="1003"/>
        </w:numPr>
      </w:pPr>
      <w:r>
        <w:t xml:space="preserve">Nettoyage des condenseurs et dépoussiérage des échangeurs (mensuel à trimestriel selon empoussièrement).</w:t>
      </w:r>
    </w:p>
    <w:p>
      <w:pPr>
        <w:pStyle w:val="Compact"/>
        <w:numPr>
          <w:ilvl w:val="0"/>
          <w:numId w:val="1003"/>
        </w:numPr>
      </w:pPr>
      <w:r>
        <w:t xml:space="preserve">Contrôle du dégivrage, des résistances et de l'évacuation des condensats.</w:t>
      </w:r>
    </w:p>
    <w:p>
      <w:pPr>
        <w:pStyle w:val="Compact"/>
        <w:numPr>
          <w:ilvl w:val="0"/>
          <w:numId w:val="1003"/>
        </w:numPr>
      </w:pPr>
      <w:r>
        <w:t xml:space="preserve">Vérification des joints de porte, fermetures et éclairage intérieur.</w:t>
      </w:r>
    </w:p>
    <w:p>
      <w:pPr>
        <w:pStyle w:val="Compact"/>
        <w:numPr>
          <w:ilvl w:val="0"/>
          <w:numId w:val="1003"/>
        </w:numPr>
      </w:pPr>
      <w:r>
        <w:t xml:space="preserve">Contrôle d'étanchéité du circuit frigorifique par opérateur attesté —</w:t>
      </w:r>
      <w:r>
        <w:t xml:space="preserve"> </w:t>
      </w:r>
      <w:r>
        <w:rPr>
          <w:b/>
          <w:bCs/>
        </w:rPr>
        <w:t xml:space="preserve">périodicité réglementaire</w:t>
      </w:r>
      <w:r>
        <w:t xml:space="preserve"> </w:t>
      </w:r>
      <w:r>
        <w:t xml:space="preserve">fonction de la charge en équivalent CO2 : au-delà du seuil de 5 t éq. CO2, contrôle au moins annuel ; fréquences resserrées au-delà de 50 et 500 t éq. CO2, et allégées en présence d'un système de détection de fuite permanent (à vérifier au texte F-Gas en vigueur).</w:t>
      </w:r>
    </w:p>
    <w:p>
      <w:pPr>
        <w:pStyle w:val="Compact"/>
        <w:numPr>
          <w:ilvl w:val="0"/>
          <w:numId w:val="1003"/>
        </w:numPr>
      </w:pPr>
      <w:r>
        <w:t xml:space="preserve">Tenue de la fiche d'intervention fluides frigorigènes et report en GMAO.</w:t>
      </w:r>
    </w:p>
    <w:p>
      <w:pPr>
        <w:pStyle w:val="FirstParagraph"/>
      </w:pPr>
      <w:r>
        <w:t xml:space="preserve">Toute fuite détectée impose une réparation rapide (ordre de grandeur : sous quelques jours) puis un contrôle d'étanchéité de vérification dans le mois — à confirmer au texte applicable.</w:t>
      </w:r>
    </w:p>
    <w:bookmarkEnd w:id="11"/>
    <w:bookmarkStart w:id="12" w:name="cuisson-fourneaux-fours-mixtes-friteuses"/>
    <w:p>
      <w:pPr>
        <w:pStyle w:val="Heading3"/>
      </w:pPr>
      <w:r>
        <w:t xml:space="preserve">3.2 — Cuisson (fourneaux, fours mixtes, friteuses)</w:t>
      </w:r>
    </w:p>
    <w:p>
      <w:pPr>
        <w:pStyle w:val="Compact"/>
        <w:numPr>
          <w:ilvl w:val="0"/>
          <w:numId w:val="1004"/>
        </w:numPr>
      </w:pPr>
      <w:r>
        <w:t xml:space="preserve">Contrôle des organes de chauffe, brûleurs, sécurités de flamme et thermostats.</w:t>
      </w:r>
    </w:p>
    <w:p>
      <w:pPr>
        <w:pStyle w:val="Compact"/>
        <w:numPr>
          <w:ilvl w:val="0"/>
          <w:numId w:val="1004"/>
        </w:numPr>
      </w:pPr>
      <w:r>
        <w:t xml:space="preserve">Vérification de l'étanchéité des raccordements gaz (détecteur électronique ou test moussant) et du bon fonctionnement de l'organe de coupure d'urgence.</w:t>
      </w:r>
    </w:p>
    <w:p>
      <w:pPr>
        <w:pStyle w:val="Compact"/>
        <w:numPr>
          <w:ilvl w:val="0"/>
          <w:numId w:val="1004"/>
        </w:numPr>
      </w:pPr>
      <w:r>
        <w:t xml:space="preserve">Détartrage des fours mixtes et contrôle des injecteurs de vapeur (fréquence selon usage et dureté d'eau).</w:t>
      </w:r>
    </w:p>
    <w:p>
      <w:pPr>
        <w:pStyle w:val="Compact"/>
        <w:numPr>
          <w:ilvl w:val="0"/>
          <w:numId w:val="1004"/>
        </w:numPr>
      </w:pPr>
      <w:r>
        <w:t xml:space="preserve">Contrôle des joints de porte de four, sondes à cœur et systèmes d'auto-nettoyage.</w:t>
      </w:r>
    </w:p>
    <w:p>
      <w:pPr>
        <w:pStyle w:val="Compact"/>
        <w:numPr>
          <w:ilvl w:val="0"/>
          <w:numId w:val="1004"/>
        </w:numPr>
      </w:pPr>
      <w:r>
        <w:t xml:space="preserve">Friteuses : contrôle des thermostats, sécurités de surchauffe et étanchéité des cuves.</w:t>
      </w:r>
    </w:p>
    <w:p>
      <w:pPr>
        <w:pStyle w:val="Compact"/>
        <w:numPr>
          <w:ilvl w:val="0"/>
          <w:numId w:val="1004"/>
        </w:numPr>
      </w:pPr>
      <w:r>
        <w:t xml:space="preserve">Vérification périodique de l'installation gaz et des appareils de cuisson en ERP —</w:t>
      </w:r>
      <w:r>
        <w:t xml:space="preserve"> </w:t>
      </w:r>
      <w:r>
        <w:rPr>
          <w:b/>
          <w:bCs/>
        </w:rPr>
        <w:t xml:space="preserve">contrôle réglementaire</w:t>
      </w:r>
      <w:r>
        <w:t xml:space="preserve"> </w:t>
      </w:r>
      <w:r>
        <w:t xml:space="preserve">généralement annuel par organisme ou personnel compétent (à vérifier au règlement de sécurité ERP applicable).</w:t>
      </w:r>
    </w:p>
    <w:bookmarkEnd w:id="12"/>
    <w:bookmarkStart w:id="13" w:name="ventilation-et-extraction-des-buées"/>
    <w:p>
      <w:pPr>
        <w:pStyle w:val="Heading3"/>
      </w:pPr>
      <w:r>
        <w:t xml:space="preserve">3.3 — Ventilation et extraction des buées</w:t>
      </w:r>
    </w:p>
    <w:p>
      <w:pPr>
        <w:pStyle w:val="FirstParagraph"/>
      </w:pPr>
      <w:r>
        <w:t xml:space="preserve">Famille la plus encadrée : le défaut d'entretien des hottes et conduits est un facteur d'incendie majeur et engage la conformité ERP.</w:t>
      </w:r>
    </w:p>
    <w:p>
      <w:pPr>
        <w:pStyle w:val="Compact"/>
        <w:numPr>
          <w:ilvl w:val="0"/>
          <w:numId w:val="1005"/>
        </w:numPr>
      </w:pPr>
      <w:r>
        <w:t xml:space="preserve">Nettoyage des filtres de hotte —</w:t>
      </w:r>
      <w:r>
        <w:t xml:space="preserve"> </w:t>
      </w:r>
      <w:r>
        <w:rPr>
          <w:b/>
          <w:bCs/>
        </w:rPr>
        <w:t xml:space="preserve">au minimum une fois par semaine</w:t>
      </w:r>
      <w:r>
        <w:t xml:space="preserve"> </w:t>
      </w:r>
      <w:r>
        <w:t xml:space="preserve">(obligation reprise du règlement de sécurité ERP, arrêté du 25 juin 1980, disposition GC ; à confronter au texte en vigueur).</w:t>
      </w:r>
    </w:p>
    <w:p>
      <w:pPr>
        <w:pStyle w:val="Compact"/>
        <w:numPr>
          <w:ilvl w:val="0"/>
          <w:numId w:val="1005"/>
        </w:numPr>
      </w:pPr>
      <w:r>
        <w:t xml:space="preserve">Nettoyage complet du circuit d'extraction, ventilateurs compris —</w:t>
      </w:r>
      <w:r>
        <w:t xml:space="preserve"> </w:t>
      </w:r>
      <w:r>
        <w:rPr>
          <w:b/>
          <w:bCs/>
        </w:rPr>
        <w:t xml:space="preserve">au moins une fois par an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Ramonage et dégraissage des conduits d'évacuation — fréquence couramment citée d'</w:t>
      </w:r>
      <w:r>
        <w:rPr>
          <w:b/>
          <w:bCs/>
        </w:rPr>
        <w:t xml:space="preserve">au moins une fois par semestre</w:t>
      </w:r>
      <w:r>
        <w:t xml:space="preserve"> </w:t>
      </w:r>
      <w:r>
        <w:t xml:space="preserve">(variable selon les sources et l'intensité d'usage ; à valider au texte et avec le SDIS local).</w:t>
      </w:r>
    </w:p>
    <w:p>
      <w:pPr>
        <w:pStyle w:val="Compact"/>
        <w:numPr>
          <w:ilvl w:val="0"/>
          <w:numId w:val="1005"/>
        </w:numPr>
      </w:pPr>
      <w:r>
        <w:t xml:space="preserve">Contrôle des débits d'extraction et de la compensation d'air (air neuf).</w:t>
      </w:r>
    </w:p>
    <w:p>
      <w:pPr>
        <w:pStyle w:val="Compact"/>
        <w:numPr>
          <w:ilvl w:val="0"/>
          <w:numId w:val="1005"/>
        </w:numPr>
      </w:pPr>
      <w:r>
        <w:t xml:space="preserve">Vérification des systèmes de sécurité associés (coupure, asservissements, le cas échéant extinction automatique).</w:t>
      </w:r>
    </w:p>
    <w:p>
      <w:pPr>
        <w:pStyle w:val="Compact"/>
        <w:numPr>
          <w:ilvl w:val="0"/>
          <w:numId w:val="1005"/>
        </w:numPr>
      </w:pPr>
      <w:r>
        <w:t xml:space="preserve">Remise d'un certificat de dégraissage/ramonage et report au</w:t>
      </w:r>
      <w:r>
        <w:t xml:space="preserve"> </w:t>
      </w:r>
      <w:r>
        <w:rPr>
          <w:b/>
          <w:bCs/>
        </w:rPr>
        <w:t xml:space="preserve">registre de sécurité</w:t>
      </w:r>
      <w:r>
        <w:t xml:space="preserve"> </w:t>
      </w:r>
      <w:r>
        <w:t xml:space="preserve">de l'établissement.</w:t>
      </w:r>
    </w:p>
    <w:bookmarkEnd w:id="13"/>
    <w:bookmarkStart w:id="14" w:name="Xf84c9c63d8e27c39dde1f6ff7daafceb9a58008"/>
    <w:p>
      <w:pPr>
        <w:pStyle w:val="Heading3"/>
      </w:pPr>
      <w:r>
        <w:t xml:space="preserve">3.4 — Plonge et traitement de l'eau (lave-vaisselle, adoucisseur)</w:t>
      </w:r>
    </w:p>
    <w:p>
      <w:pPr>
        <w:pStyle w:val="Compact"/>
        <w:numPr>
          <w:ilvl w:val="0"/>
          <w:numId w:val="1006"/>
        </w:numPr>
      </w:pPr>
      <w:r>
        <w:t xml:space="preserve">Nettoyage des filtres, bras de lavage et cuve ; vérification des doseurs produit.</w:t>
      </w:r>
    </w:p>
    <w:p>
      <w:pPr>
        <w:pStyle w:val="Compact"/>
        <w:numPr>
          <w:ilvl w:val="0"/>
          <w:numId w:val="1006"/>
        </w:numPr>
      </w:pPr>
      <w:r>
        <w:t xml:space="preserve">Détartrage du lave-vaisselle — fréquence selon dureté d'eau et intensité (ordre de grandeur courant : mensuel, resserré jusqu'à hebdomadaire sur machine très sollicitée).</w:t>
      </w:r>
    </w:p>
    <w:p>
      <w:pPr>
        <w:pStyle w:val="Compact"/>
        <w:numPr>
          <w:ilvl w:val="0"/>
          <w:numId w:val="1006"/>
        </w:numPr>
      </w:pPr>
      <w:r>
        <w:t xml:space="preserve">Contrôle des températures de lavage et de rinçage (cohérence HACCP) et des résistances.</w:t>
      </w:r>
    </w:p>
    <w:p>
      <w:pPr>
        <w:pStyle w:val="Compact"/>
        <w:numPr>
          <w:ilvl w:val="0"/>
          <w:numId w:val="1006"/>
        </w:numPr>
      </w:pPr>
      <w:r>
        <w:t xml:space="preserve">Adoucisseur : contrôle de la dureté résiduelle, niveau et régénération au sel.</w:t>
      </w:r>
    </w:p>
    <w:p>
      <w:pPr>
        <w:pStyle w:val="Compact"/>
        <w:numPr>
          <w:ilvl w:val="0"/>
          <w:numId w:val="1006"/>
        </w:numPr>
      </w:pPr>
      <w:r>
        <w:t xml:space="preserve">Vérification de l'étanchéité (cuve, vidange, raccordements eau) et des sécurités de porte.</w:t>
      </w:r>
    </w:p>
    <w:bookmarkEnd w:id="14"/>
    <w:bookmarkStart w:id="15" w:name="X485b2fd676e4f00c4ae4a8aefdf6c63621621c4"/>
    <w:p>
      <w:pPr>
        <w:pStyle w:val="Heading3"/>
      </w:pPr>
      <w:r>
        <w:t xml:space="preserve">3.5 — Fluides et énergies (gaz, électricité de puissance)</w:t>
      </w:r>
    </w:p>
    <w:p>
      <w:pPr>
        <w:pStyle w:val="Compact"/>
        <w:numPr>
          <w:ilvl w:val="0"/>
          <w:numId w:val="1007"/>
        </w:numPr>
      </w:pPr>
      <w:r>
        <w:t xml:space="preserve">Contrôle de l'organe de coupure gaz et de sa signalisation.</w:t>
      </w:r>
    </w:p>
    <w:p>
      <w:pPr>
        <w:pStyle w:val="Compact"/>
        <w:numPr>
          <w:ilvl w:val="0"/>
          <w:numId w:val="1007"/>
        </w:numPr>
      </w:pPr>
      <w:r>
        <w:t xml:space="preserve">Vérification du tableau électrique dédié cuisine : serrages, protections, échauffements.</w:t>
      </w:r>
    </w:p>
    <w:p>
      <w:pPr>
        <w:pStyle w:val="Compact"/>
        <w:numPr>
          <w:ilvl w:val="0"/>
          <w:numId w:val="1007"/>
        </w:numPr>
      </w:pPr>
      <w:r>
        <w:t xml:space="preserve">Contrôle des arrêts d'urgence et de leur accessibilité.</w:t>
      </w:r>
    </w:p>
    <w:p>
      <w:pPr>
        <w:pStyle w:val="Compact"/>
        <w:numPr>
          <w:ilvl w:val="0"/>
          <w:numId w:val="1007"/>
        </w:numPr>
      </w:pPr>
      <w:r>
        <w:t xml:space="preserve">Cohérence avec les vérifications réglementaires des installations électriques et gaz de l'établissement (périodicités propres, à vérifier).</w:t>
      </w:r>
    </w:p>
    <w:bookmarkEnd w:id="15"/>
    <w:bookmarkEnd w:id="16"/>
    <w:bookmarkStart w:id="17" w:name="X929be524610447a8c28229ab6e404681349c6f4"/>
    <w:p>
      <w:pPr>
        <w:pStyle w:val="Heading2"/>
      </w:pPr>
      <w:r>
        <w:t xml:space="preserve">4</w:t>
      </w:r>
      <w:r>
        <w:t xml:space="preserve"> </w:t>
      </w:r>
      <w:r>
        <w:t xml:space="preserve">Article 4 — Prestations et niveaux d'intervention</w:t>
      </w:r>
    </w:p>
    <w:p>
      <w:pPr>
        <w:pStyle w:val="FirstParagraph"/>
      </w:pPr>
      <w:r>
        <w:t xml:space="preserve">Structurez les prestations en niveaux pour clarifier qui fait quoi et ce qui est inclus. La nomenclature ci-dessous est une convention de travail à adapter ; elle s'inspire des découpages multitechniques par lots de prestations.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Conduite et petit entretien</w:t>
      </w:r>
      <w:r>
        <w:t xml:space="preserve"> </w:t>
      </w:r>
      <w:r>
        <w:t xml:space="preserve">— surveillance, conduite des installations, petites opérations courantes et consommables d'usage.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Maintenance préventive</w:t>
      </w:r>
      <w:r>
        <w:t xml:space="preserve"> </w:t>
      </w:r>
      <w:r>
        <w:t xml:space="preserve">— visites planifiées et contrôles périodiques décrits à l'Article 3.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Maintenance corrective</w:t>
      </w:r>
      <w:r>
        <w:t xml:space="preserve"> </w:t>
      </w:r>
      <w:r>
        <w:t xml:space="preserve">— dépannage sur panne et remise en service.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Gros entretien et remplacement (GER)</w:t>
      </w:r>
      <w:r>
        <w:t xml:space="preserve"> </w:t>
      </w:r>
      <w:r>
        <w:t xml:space="preserve">— remplacement de composants lourds, renouvellement programmé : préciser si inclus, plafonné ou hors-forfait.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Travaux et prestations à la demande</w:t>
      </w:r>
      <w:r>
        <w:t xml:space="preserve"> </w:t>
      </w:r>
      <w:r>
        <w:t xml:space="preserve">— devis hors contrat, sur bon de commande.</w:t>
      </w:r>
    </w:p>
    <w:p>
      <w:pPr>
        <w:pStyle w:val="FirstParagraph"/>
      </w:pPr>
      <w:r>
        <w:t xml:space="preserve">Pour chaque niveau, indiquez : ce qui est inclus dans le forfait, ce qui relève du devis, et le seuil financier de déclenchement d'un accord préalable [À COMPLÉTER].</w:t>
      </w:r>
    </w:p>
    <w:bookmarkEnd w:id="17"/>
    <w:bookmarkStart w:id="18" w:name="article-5-niveaux-de-service-sla"/>
    <w:p>
      <w:pPr>
        <w:pStyle w:val="Heading2"/>
      </w:pPr>
      <w:r>
        <w:t xml:space="preserve">5</w:t>
      </w:r>
      <w:r>
        <w:t xml:space="preserve"> </w:t>
      </w:r>
      <w:r>
        <w:t xml:space="preserve">Article 5 — Niveaux de service (SLA)</w:t>
      </w:r>
    </w:p>
    <w:p>
      <w:pPr>
        <w:pStyle w:val="FirstParagraph"/>
      </w:pPr>
      <w:r>
        <w:t xml:space="preserve">Les engagements de service distinguent la</w:t>
      </w:r>
      <w:r>
        <w:t xml:space="preserve"> </w:t>
      </w:r>
      <w:r>
        <w:rPr>
          <w:b/>
          <w:bCs/>
        </w:rPr>
        <w:t xml:space="preserve">GTI</w:t>
      </w:r>
      <w:r>
        <w:t xml:space="preserve"> </w:t>
      </w:r>
      <w:r>
        <w:t xml:space="preserve">(Garantie de Temps d'Intervention, prise en charge) — obligation de moyens — et la</w:t>
      </w:r>
      <w:r>
        <w:t xml:space="preserve"> </w:t>
      </w:r>
      <w:r>
        <w:rPr>
          <w:b/>
          <w:bCs/>
        </w:rPr>
        <w:t xml:space="preserve">GTR</w:t>
      </w:r>
      <w:r>
        <w:t xml:space="preserve"> </w:t>
      </w:r>
      <w:r>
        <w:t xml:space="preserve">(Garantie de Temps de Rétablissement) — obligation de résultat. Classez les équipements par criticité métier : une chambre froide ou une extraction à l'arrêt peut bloquer le service, là où un équipement secondaire admet un contournement.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Priorité critique (P1)</w:t>
      </w:r>
      <w:r>
        <w:t xml:space="preserve"> </w:t>
      </w:r>
      <w:r>
        <w:t xml:space="preserve">— arrêt d'activité ou risque sécurité/sanitaire. Délais courts, couverture étendue. GTI et GTR : [À COMPLÉTER] (ordres de grandeur marché : GTI très courte, GTR de quelques heures).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Priorité majeure (P2)</w:t>
      </w:r>
      <w:r>
        <w:t xml:space="preserve"> </w:t>
      </w:r>
      <w:r>
        <w:t xml:space="preserve">— service dégradé sans contournement satisfaisant. GTI/GTR : [À COMPLÉTER].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Priorité standard (P3)</w:t>
      </w:r>
      <w:r>
        <w:t xml:space="preserve"> </w:t>
      </w:r>
      <w:r>
        <w:t xml:space="preserve">— gêne avec contournement possible. GTR couramment exprimée en jours ouvrés : [À COMPLÉTER].</w:t>
      </w:r>
    </w:p>
    <w:p>
      <w:pPr>
        <w:pStyle w:val="Compact"/>
        <w:numPr>
          <w:ilvl w:val="0"/>
          <w:numId w:val="1009"/>
        </w:numPr>
      </w:pPr>
      <w:r>
        <w:t xml:space="preserve">Plages horaires couvertes par niveau (heures ouvrées, étendues, 24/7) : [À COMPLÉTER].</w:t>
      </w:r>
    </w:p>
    <w:p>
      <w:pPr>
        <w:pStyle w:val="Compact"/>
        <w:numPr>
          <w:ilvl w:val="0"/>
          <w:numId w:val="1009"/>
        </w:numPr>
      </w:pPr>
      <w:r>
        <w:t xml:space="preserve">Modalités de signalement et numéro d'astreinte : [À COMPLÉTER].</w:t>
      </w:r>
    </w:p>
    <w:p>
      <w:pPr>
        <w:pStyle w:val="Compact"/>
        <w:numPr>
          <w:ilvl w:val="0"/>
          <w:numId w:val="1009"/>
        </w:numPr>
      </w:pPr>
      <w:r>
        <w:t xml:space="preserve">Pénalités en cas de dépassement : avoir sur facture, prestations offertes ou droit de résiliation, déclenchées automatiquement sur constat au reporting : [À COMPLÉTER].</w:t>
      </w:r>
    </w:p>
    <w:bookmarkEnd w:id="18"/>
    <w:bookmarkStart w:id="19" w:name="article-6-reporting-et-pilotage"/>
    <w:p>
      <w:pPr>
        <w:pStyle w:val="Heading2"/>
      </w:pPr>
      <w:r>
        <w:t xml:space="preserve">6</w:t>
      </w:r>
      <w:r>
        <w:t xml:space="preserve"> </w:t>
      </w:r>
      <w:r>
        <w:t xml:space="preserve">Article 6 — Reporting et pilotage</w:t>
      </w:r>
    </w:p>
    <w:p>
      <w:pPr>
        <w:pStyle w:val="FirstParagraph"/>
      </w:pPr>
      <w:r>
        <w:t xml:space="preserve">Sans reporting structuré, les SLA ne sont pas contrôlables. Exigez une restitution exploitable à l'échelle du parc.</w:t>
      </w:r>
    </w:p>
    <w:p>
      <w:pPr>
        <w:pStyle w:val="Compact"/>
        <w:numPr>
          <w:ilvl w:val="0"/>
          <w:numId w:val="1010"/>
        </w:numPr>
      </w:pPr>
      <w:r>
        <w:t xml:space="preserve">Compte rendu d'intervention horodaté par équipement, avec pièces posées et temps passé.</w:t>
      </w:r>
    </w:p>
    <w:p>
      <w:pPr>
        <w:pStyle w:val="Compact"/>
        <w:numPr>
          <w:ilvl w:val="0"/>
          <w:numId w:val="1010"/>
        </w:numPr>
      </w:pPr>
      <w:r>
        <w:t xml:space="preserve">Suivi du respect des GTI/GTR par site et consolidé sur le parc.</w:t>
      </w:r>
    </w:p>
    <w:p>
      <w:pPr>
        <w:pStyle w:val="Compact"/>
        <w:numPr>
          <w:ilvl w:val="0"/>
          <w:numId w:val="1010"/>
        </w:numPr>
      </w:pPr>
      <w:r>
        <w:t xml:space="preserve">Historique des contrôles réglementaires et alertes d'échéances (extraction, fluides, gaz).</w:t>
      </w:r>
    </w:p>
    <w:p>
      <w:pPr>
        <w:pStyle w:val="Compact"/>
        <w:numPr>
          <w:ilvl w:val="0"/>
          <w:numId w:val="1010"/>
        </w:numPr>
      </w:pPr>
      <w:r>
        <w:t xml:space="preserve">Indicateurs de pilotage : volume d'interventions, récurrence par équipement, coûts.</w:t>
      </w:r>
    </w:p>
    <w:p>
      <w:pPr>
        <w:pStyle w:val="Compact"/>
        <w:numPr>
          <w:ilvl w:val="0"/>
          <w:numId w:val="1010"/>
        </w:numPr>
      </w:pPr>
      <w:r>
        <w:t xml:space="preserve">Accès et format du reporting (portail, GMAO, export) et fréquence des revues : [À COMPLÉTER].</w:t>
      </w:r>
    </w:p>
    <w:bookmarkEnd w:id="19"/>
    <w:bookmarkStart w:id="20" w:name="X4076371dbd480cfdcd8aa212c0908efa0ced6a1"/>
    <w:p>
      <w:pPr>
        <w:pStyle w:val="Heading2"/>
      </w:pPr>
      <w:r>
        <w:t xml:space="preserve">7</w:t>
      </w:r>
      <w:r>
        <w:t xml:space="preserve"> </w:t>
      </w:r>
      <w:r>
        <w:t xml:space="preserve">Article 7 — Pièces détachées et consommables</w:t>
      </w:r>
    </w:p>
    <w:p>
      <w:pPr>
        <w:pStyle w:val="FirstParagraph"/>
      </w:pPr>
      <w:r>
        <w:t xml:space="preserve">Point fréquent de litige : précisez ce que le forfait couvre réellement.</w:t>
      </w:r>
    </w:p>
    <w:p>
      <w:pPr>
        <w:pStyle w:val="Compact"/>
        <w:numPr>
          <w:ilvl w:val="0"/>
          <w:numId w:val="1011"/>
        </w:numPr>
      </w:pPr>
      <w:r>
        <w:t xml:space="preserve">Consommables inclus (joints, filtres, produits de détartrage d'usage) : [À COMPLÉTER].</w:t>
      </w:r>
    </w:p>
    <w:p>
      <w:pPr>
        <w:pStyle w:val="Compact"/>
        <w:numPr>
          <w:ilvl w:val="0"/>
          <w:numId w:val="1011"/>
        </w:numPr>
      </w:pPr>
      <w:r>
        <w:t xml:space="preserve">Pièces détachées : incluses, plafonnées ou facturées en sus, et modalités d'achat : [À COMPLÉTER].</w:t>
      </w:r>
    </w:p>
    <w:p>
      <w:pPr>
        <w:pStyle w:val="Compact"/>
        <w:numPr>
          <w:ilvl w:val="0"/>
          <w:numId w:val="1011"/>
        </w:numPr>
      </w:pPr>
      <w:r>
        <w:t xml:space="preserve">Délais d'approvisionnement et solutions de continuité en cas de pièce indisponible.</w:t>
      </w:r>
    </w:p>
    <w:p>
      <w:pPr>
        <w:pStyle w:val="Compact"/>
        <w:numPr>
          <w:ilvl w:val="0"/>
          <w:numId w:val="1011"/>
        </w:numPr>
      </w:pPr>
      <w:r>
        <w:t xml:space="preserve">Propriété des pièces déposées et gestion des garanties constructeur.</w:t>
      </w:r>
    </w:p>
    <w:p>
      <w:pPr>
        <w:pStyle w:val="Compact"/>
        <w:numPr>
          <w:ilvl w:val="0"/>
          <w:numId w:val="1011"/>
        </w:numPr>
      </w:pPr>
      <w:r>
        <w:t xml:space="preserve">Transparence des prix de pièces (catalogue, marge appliquée) : [À COMPLÉTER].</w:t>
      </w:r>
    </w:p>
    <w:bookmarkEnd w:id="20"/>
    <w:bookmarkStart w:id="21" w:name="article-8-obligations-des-parties"/>
    <w:p>
      <w:pPr>
        <w:pStyle w:val="Heading2"/>
      </w:pPr>
      <w:r>
        <w:t xml:space="preserve">8</w:t>
      </w:r>
      <w:r>
        <w:t xml:space="preserve"> </w:t>
      </w:r>
      <w:r>
        <w:t xml:space="preserve">Article 8 — Obligations des parties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Prestataire</w:t>
      </w:r>
      <w:r>
        <w:t xml:space="preserve"> </w:t>
      </w:r>
      <w:r>
        <w:t xml:space="preserve">— moyens humains qualifiés et attestés (notamment manipulation des fluides frigorigènes et interventions gaz), respect des fréquences, traçabilité, remise des certificats réglementaires.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Client</w:t>
      </w:r>
      <w:r>
        <w:t xml:space="preserve"> </w:t>
      </w:r>
      <w:r>
        <w:t xml:space="preserve">— accès aux installations, conditions d'intervention, désignation d'un interlocuteur par site, tenue du registre de sécurité.</w:t>
      </w:r>
    </w:p>
    <w:p>
      <w:pPr>
        <w:pStyle w:val="Compact"/>
        <w:numPr>
          <w:ilvl w:val="0"/>
          <w:numId w:val="1012"/>
        </w:numPr>
      </w:pPr>
      <w:r>
        <w:t xml:space="preserve">Conditions d'accès et plages d'intervention par site : [À COMPLÉTER].</w:t>
      </w:r>
    </w:p>
    <w:p>
      <w:pPr>
        <w:pStyle w:val="Compact"/>
        <w:numPr>
          <w:ilvl w:val="0"/>
          <w:numId w:val="1012"/>
        </w:numPr>
      </w:pPr>
      <w:r>
        <w:t xml:space="preserve">Confidentialité, assurances et responsabilités respectives : [À COMPLÉTER].</w:t>
      </w:r>
    </w:p>
    <w:bookmarkEnd w:id="21"/>
    <w:bookmarkStart w:id="22" w:name="article-9-prix-et-révision"/>
    <w:p>
      <w:pPr>
        <w:pStyle w:val="Heading2"/>
      </w:pPr>
      <w:r>
        <w:t xml:space="preserve">9</w:t>
      </w:r>
      <w:r>
        <w:t xml:space="preserve"> </w:t>
      </w:r>
      <w:r>
        <w:t xml:space="preserve">Article 9 — Prix et révision</w:t>
      </w:r>
    </w:p>
    <w:p>
      <w:pPr>
        <w:pStyle w:val="Compact"/>
        <w:numPr>
          <w:ilvl w:val="0"/>
          <w:numId w:val="1013"/>
        </w:numPr>
      </w:pPr>
      <w:r>
        <w:t xml:space="preserve">Décomposition du prix par niveau de prestation (préventif, correctif, GER) et par site.</w:t>
      </w:r>
    </w:p>
    <w:p>
      <w:pPr>
        <w:pStyle w:val="Compact"/>
        <w:numPr>
          <w:ilvl w:val="0"/>
          <w:numId w:val="1013"/>
        </w:numPr>
      </w:pPr>
      <w:r>
        <w:t xml:space="preserve">Base de facturation (forfait, unités d'œuvre, régie) et facture consolidée à l'échelle du parc : [À COMPLÉTER].</w:t>
      </w:r>
    </w:p>
    <w:p>
      <w:pPr>
        <w:pStyle w:val="Compact"/>
        <w:numPr>
          <w:ilvl w:val="0"/>
          <w:numId w:val="1013"/>
        </w:numPr>
      </w:pPr>
      <w:r>
        <w:t xml:space="preserve">Formule et fréquence de révision tarifaire (indice de référence) : [À COMPLÉTER].</w:t>
      </w:r>
    </w:p>
    <w:p>
      <w:pPr>
        <w:pStyle w:val="Compact"/>
        <w:numPr>
          <w:ilvl w:val="0"/>
          <w:numId w:val="1013"/>
        </w:numPr>
      </w:pPr>
      <w:r>
        <w:t xml:space="preserve">Conditions de facturation des interventions hors-forfait et des déplacements.</w:t>
      </w:r>
    </w:p>
    <w:p>
      <w:pPr>
        <w:pStyle w:val="Compact"/>
        <w:numPr>
          <w:ilvl w:val="0"/>
          <w:numId w:val="1013"/>
        </w:numPr>
      </w:pPr>
      <w:r>
        <w:t xml:space="preserve">Fourchettes de prix de marché : à demander en comparatif et à considérer comme indicatives, à valider site par site.</w:t>
      </w:r>
    </w:p>
    <w:bookmarkEnd w:id="22"/>
    <w:bookmarkStart w:id="23" w:name="X0c177cf42388b0cc1905b30ef9364c930b5498c"/>
    <w:p>
      <w:pPr>
        <w:pStyle w:val="Heading2"/>
      </w:pPr>
      <w:r>
        <w:t xml:space="preserve">10</w:t>
      </w:r>
      <w:r>
        <w:t xml:space="preserve"> </w:t>
      </w:r>
      <w:r>
        <w:t xml:space="preserve">Article 10 — Durée, résiliation et réversibilité</w:t>
      </w:r>
    </w:p>
    <w:p>
      <w:pPr>
        <w:pStyle w:val="Compact"/>
        <w:numPr>
          <w:ilvl w:val="0"/>
          <w:numId w:val="1014"/>
        </w:numPr>
      </w:pPr>
      <w:r>
        <w:t xml:space="preserve">Durée initiale, reconduction et préavis : [À COMPLÉTER].</w:t>
      </w:r>
    </w:p>
    <w:p>
      <w:pPr>
        <w:pStyle w:val="Compact"/>
        <w:numPr>
          <w:ilvl w:val="0"/>
          <w:numId w:val="1014"/>
        </w:numPr>
      </w:pPr>
      <w:r>
        <w:t xml:space="preserve">Conditions de résiliation pour manquement (lien avec les SLA et pénalités de l'Article 5).</w:t>
      </w:r>
    </w:p>
    <w:p>
      <w:pPr>
        <w:pStyle w:val="Compact"/>
        <w:numPr>
          <w:ilvl w:val="0"/>
          <w:numId w:val="1014"/>
        </w:numPr>
      </w:pPr>
      <w:r>
        <w:t xml:space="preserve">Réversibilité : restitution de l'historique de maintenance, des données GMAO et des certificats réglementaires en fin de contrat.</w:t>
      </w:r>
    </w:p>
    <w:p>
      <w:pPr>
        <w:pStyle w:val="Compact"/>
        <w:numPr>
          <w:ilvl w:val="0"/>
          <w:numId w:val="1014"/>
        </w:numPr>
      </w:pPr>
      <w:r>
        <w:t xml:space="preserve">Continuité de service pendant la phase de transition.</w:t>
      </w:r>
    </w:p>
    <w:bookmarkEnd w:id="23"/>
    <w:bookmarkStart w:id="24" w:name="article-11-exclusions-et-hors-forfait"/>
    <w:p>
      <w:pPr>
        <w:pStyle w:val="Heading2"/>
      </w:pPr>
      <w:r>
        <w:t xml:space="preserve">11</w:t>
      </w:r>
      <w:r>
        <w:t xml:space="preserve"> </w:t>
      </w:r>
      <w:r>
        <w:t xml:space="preserve">Article 11 — Exclusions et hors-forfait</w:t>
      </w:r>
    </w:p>
    <w:p>
      <w:pPr>
        <w:pStyle w:val="Compact"/>
        <w:numPr>
          <w:ilvl w:val="0"/>
          <w:numId w:val="1015"/>
        </w:numPr>
      </w:pPr>
      <w:r>
        <w:t xml:space="preserve">Maintenance planifiée non couverte, pannes imputables à un tiers, force majeure.</w:t>
      </w:r>
    </w:p>
    <w:p>
      <w:pPr>
        <w:pStyle w:val="Compact"/>
        <w:numPr>
          <w:ilvl w:val="0"/>
          <w:numId w:val="1015"/>
        </w:numPr>
      </w:pPr>
      <w:r>
        <w:t xml:space="preserve">Dégradations par mauvais usage, défaut d'exploitation ou non-respect des préconisations fabricant.</w:t>
      </w:r>
    </w:p>
    <w:p>
      <w:pPr>
        <w:pStyle w:val="Compact"/>
        <w:numPr>
          <w:ilvl w:val="0"/>
          <w:numId w:val="1015"/>
        </w:numPr>
      </w:pPr>
      <w:r>
        <w:t xml:space="preserve">Travaux de mise en conformité, modifications d'installation, GER non inclus.</w:t>
      </w:r>
    </w:p>
    <w:p>
      <w:pPr>
        <w:pStyle w:val="Compact"/>
        <w:numPr>
          <w:ilvl w:val="0"/>
          <w:numId w:val="1015"/>
        </w:numPr>
      </w:pPr>
      <w:r>
        <w:t xml:space="preserve">Équipements hors périmètre (cf. Article 2) et zones non couvertes.</w:t>
      </w:r>
    </w:p>
    <w:bookmarkEnd w:id="24"/>
    <w:bookmarkStart w:id="27" w:name="article-12-annexes"/>
    <w:p>
      <w:pPr>
        <w:pStyle w:val="Heading2"/>
      </w:pPr>
      <w:r>
        <w:t xml:space="preserve">12</w:t>
      </w:r>
      <w:r>
        <w:t xml:space="preserve"> </w:t>
      </w:r>
      <w:r>
        <w:t xml:space="preserve">Article 12 — Annexes</w:t>
      </w:r>
    </w:p>
    <w:p>
      <w:pPr>
        <w:pStyle w:val="Compact"/>
        <w:numPr>
          <w:ilvl w:val="0"/>
          <w:numId w:val="1016"/>
        </w:numPr>
      </w:pPr>
      <w:r>
        <w:t xml:space="preserve">Annexe 1 — Inventaire détaillé des équipements par site.</w:t>
      </w:r>
    </w:p>
    <w:p>
      <w:pPr>
        <w:pStyle w:val="Compact"/>
        <w:numPr>
          <w:ilvl w:val="0"/>
          <w:numId w:val="1016"/>
        </w:numPr>
      </w:pPr>
      <w:r>
        <w:t xml:space="preserve">Annexe 2 — Trames de checklists préventives complétées (Article 3) et calendrier des visites.</w:t>
      </w:r>
    </w:p>
    <w:p>
      <w:pPr>
        <w:pStyle w:val="Compact"/>
        <w:numPr>
          <w:ilvl w:val="0"/>
          <w:numId w:val="1016"/>
        </w:numPr>
      </w:pPr>
      <w:r>
        <w:t xml:space="preserve">Annexe 3 — Matrice de criticité et SLA par équipement.</w:t>
      </w:r>
    </w:p>
    <w:p>
      <w:pPr>
        <w:pStyle w:val="Compact"/>
        <w:numPr>
          <w:ilvl w:val="0"/>
          <w:numId w:val="1016"/>
        </w:numPr>
      </w:pPr>
      <w:r>
        <w:t xml:space="preserve">Annexe 4 — Échéancier des contrôles réglementaires et registre de sécurité.</w:t>
      </w:r>
    </w:p>
    <w:p>
      <w:pPr>
        <w:pStyle w:val="Compact"/>
        <w:numPr>
          <w:ilvl w:val="0"/>
          <w:numId w:val="1016"/>
        </w:numPr>
      </w:pPr>
      <w:r>
        <w:t xml:space="preserve">Annexe 5 — Conditions d'accès et contacts par site.</w:t>
      </w:r>
    </w:p>
    <w:p>
      <w:pPr>
        <w:pStyle w:val="FirstParagraph"/>
      </w:pPr>
      <w:r>
        <w:t xml:space="preserve">Passer à l'action</w:t>
      </w:r>
    </w:p>
    <w:bookmarkStart w:id="26" w:name="X9a0a17475862e848f2c493de489516c65add517"/>
    <w:p>
      <w:pPr>
        <w:pStyle w:val="Heading4"/>
      </w:pPr>
      <w:r>
        <w:t xml:space="preserve">Vos sites méritent un pilotage cohérent et performant.</w:t>
      </w:r>
    </w:p>
    <w:p>
      <w:pPr>
        <w:pStyle w:val="FirstParagraph"/>
      </w:pPr>
      <w:r>
        <w:t xml:space="preserve">Harmony by Depanneo reprend votre parc, structure vos SLA et centralise le pilotage de votre maintenance sur l'ensemble de vos sites — partout en France. Demandez un audit de parc : on évalue vos installations et on cadre votre maintenance.</w:t>
      </w:r>
    </w:p>
    <w:p>
      <w:pPr>
        <w:pStyle w:val="BodyText"/>
      </w:pPr>
      <w:hyperlink r:id="rId25">
        <w:r>
          <w:rPr>
            <w:rStyle w:val="Hyperlink"/>
          </w:rPr>
          <w:t xml:space="preserve">Demander un audit de parc</w:t>
        </w:r>
      </w:hyperlink>
      <w:r>
        <w:t xml:space="preserve"> </w:t>
      </w:r>
      <w:r>
        <w:t xml:space="preserve">ou 07 57 93 93 39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https://www.depanneo.com/harmony/contac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www.depanneo.com/harmony/contac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2026-06-29T17:26:50Z</dcterms:created>
  <dcterms:modified xsi:type="dcterms:W3CDTF">2026-06-29T17:26:50Z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