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p>
    <w:p>
      <w:pPr>
        <w:pStyle w:val="BodyText"/>
      </w:pPr>
      <w:r>
        <w:t xml:space="preserve">PROMOTEURS ET MAÎTRISE D'OUVRAGE · MODÈLE DE DOCUMENT</w:t>
      </w:r>
    </w:p>
    <w:bookmarkStart w:id="24" w:name="Xd188924462e2ebcbf95fe31b13a2fc286f13552"/>
    <w:p>
      <w:pPr>
        <w:pStyle w:val="Heading1"/>
      </w:pPr>
      <w:r>
        <w:t xml:space="preserve">Liste des réserves travaux : modèle de suivi</w:t>
      </w:r>
    </w:p>
    <w:p>
      <w:pPr>
        <w:pStyle w:val="FirstParagraph"/>
      </w:pPr>
      <w:r>
        <w:t xml:space="preserve">Ce modèle centralise les défauts, non-conformités et travaux inachevés constatés avant ou pendant la réception d'un chantier. Chaque ligne associe une localisation précise, une correction attendue, une entreprise responsable, une échéance et la preuve nécessaire à la levée. Les champs à renseigner sont matérialisés ; une notice d'utilisation figure en fin de document.</w:t>
      </w:r>
    </w:p>
    <w:p>
      <w:pPr>
        <w:pStyle w:val="BodyText"/>
      </w:pPr>
      <w:r>
        <w:rPr>
          <w:b/>
          <w:bCs/>
        </w:rPr>
        <w:t xml:space="preserve">Modèle fourni à titre indicatif, à adapter et à faire valider avant usage.</w:t>
      </w:r>
      <w:r>
        <w:t xml:space="preserve"> </w:t>
      </w:r>
      <w:r>
        <w:t xml:space="preserve">Le contenu de la liste dépend du marché, des pièces contractuelles et du cadre applicable au projet. Lors de la réception, les réserves maintenues sont annexées au procès-verbal de réception.</w:t>
      </w:r>
    </w:p>
    <w:bookmarkStart w:id="9" w:name="identification-de-lopération"/>
    <w:p>
      <w:pPr>
        <w:pStyle w:val="Heading2"/>
      </w:pPr>
      <w:r>
        <w:t xml:space="preserve">1</w:t>
      </w:r>
      <w:r>
        <w:t xml:space="preserve"> </w:t>
      </w:r>
      <w:r>
        <w:t xml:space="preserve">Identification de l'opération</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ook w:firstRow="0" w:lastRow="0" w:firstColumn="0" w:lastColumn="0" w:noHBand="0" w:noVBand="0" w:val="0000"/>
      </w:tblPr>
      <w:tblGrid>
        <w:gridCol w:w="1980"/>
        <w:gridCol w:w="1980"/>
        <w:gridCol w:w="1980"/>
        <w:gridCol w:w="1980"/>
      </w:tblGrid>
      <w:tr>
        <w:tc>
          <w:tcPr/>
          <w:p>
            <w:pPr>
              <w:pStyle w:val="Compact"/>
            </w:pPr>
            <w:r>
              <w:t xml:space="preserve">Opération ou chantier</w:t>
            </w:r>
          </w:p>
        </w:tc>
        <w:tc>
          <w:tcPr>
            <w:gridSpan w:val="3"/>
          </w:tcPr>
          <w:p>
            <w:pPr>
              <w:pStyle w:val="Compact"/>
            </w:pPr>
            <w:r>
              <w:t xml:space="preserve"> </w:t>
            </w:r>
          </w:p>
        </w:tc>
      </w:tr>
      <w:tr>
        <w:tc>
          <w:tcPr/>
          <w:p>
            <w:pPr>
              <w:pStyle w:val="Compact"/>
            </w:pPr>
            <w:r>
              <w:t xml:space="preserve">Site(s) concerné(s)</w:t>
            </w:r>
          </w:p>
        </w:tc>
        <w:tc>
          <w:tcPr>
            <w:gridSpan w:val="3"/>
          </w:tcPr>
          <w:p>
            <w:pPr>
              <w:pStyle w:val="Compact"/>
            </w:pPr>
            <w:r>
              <w:t xml:space="preserve"> </w:t>
            </w:r>
          </w:p>
        </w:tc>
      </w:tr>
      <w:tr>
        <w:tc>
          <w:tcPr/>
          <w:p>
            <w:pPr>
              <w:pStyle w:val="Compact"/>
            </w:pPr>
            <w:r>
              <w:t xml:space="preserve">Maître d'ouvrage</w:t>
            </w:r>
          </w:p>
        </w:tc>
        <w:tc>
          <w:tcPr>
            <w:gridSpan w:val="2"/>
          </w:tcPr>
          <w:p>
            <w:pPr>
              <w:pStyle w:val="Compact"/>
            </w:pPr>
            <w:r>
              <w:t xml:space="preserve">Dénomination :</w:t>
            </w:r>
          </w:p>
        </w:tc>
        <w:tc>
          <w:tcPr/>
          <w:p>
            <w:pPr>
              <w:pStyle w:val="Compact"/>
            </w:pPr>
            <w:r>
              <w:t xml:space="preserve">Représentant :</w:t>
            </w:r>
          </w:p>
        </w:tc>
      </w:tr>
      <w:tr>
        <w:tc>
          <w:tcPr/>
          <w:p>
            <w:pPr>
              <w:pStyle w:val="Compact"/>
            </w:pPr>
            <w:r>
              <w:t xml:space="preserve">Maître d'œuvre</w:t>
            </w:r>
          </w:p>
        </w:tc>
        <w:tc>
          <w:tcPr>
            <w:gridSpan w:val="2"/>
          </w:tcPr>
          <w:p>
            <w:pPr>
              <w:pStyle w:val="Compact"/>
            </w:pPr>
            <w:r>
              <w:t xml:space="preserve">Dénomination :</w:t>
            </w:r>
          </w:p>
        </w:tc>
        <w:tc>
          <w:tcPr/>
          <w:p>
            <w:pPr>
              <w:pStyle w:val="Compact"/>
            </w:pPr>
            <w:r>
              <w:t xml:space="preserve">Représentant :</w:t>
            </w:r>
          </w:p>
        </w:tc>
      </w:tr>
      <w:tr>
        <w:tc>
          <w:tcPr/>
          <w:p>
            <w:pPr>
              <w:pStyle w:val="Compact"/>
            </w:pPr>
            <w:r>
              <w:t xml:space="preserve">Entreprise générale (s'il y a lieu)</w:t>
            </w:r>
          </w:p>
        </w:tc>
        <w:tc>
          <w:tcPr>
            <w:gridSpan w:val="2"/>
          </w:tcPr>
          <w:p>
            <w:pPr>
              <w:pStyle w:val="Compact"/>
            </w:pPr>
            <w:r>
              <w:t xml:space="preserve">Dénomination :</w:t>
            </w:r>
          </w:p>
        </w:tc>
        <w:tc>
          <w:tcPr/>
          <w:p>
            <w:pPr>
              <w:pStyle w:val="Compact"/>
            </w:pPr>
            <w:r>
              <w:t xml:space="preserve">Représentant :</w:t>
            </w:r>
          </w:p>
        </w:tc>
      </w:tr>
      <w:tr>
        <w:tc>
          <w:tcPr/>
          <w:p>
            <w:pPr>
              <w:pStyle w:val="Compact"/>
            </w:pPr>
            <w:r>
              <w:t xml:space="preserve">Exploitant-mainteneur</w:t>
            </w:r>
          </w:p>
        </w:tc>
        <w:tc>
          <w:tcPr>
            <w:gridSpan w:val="2"/>
          </w:tcPr>
          <w:p>
            <w:pPr>
              <w:pStyle w:val="Compact"/>
            </w:pPr>
            <w:r>
              <w:t xml:space="preserve">Dénomination :</w:t>
            </w:r>
          </w:p>
        </w:tc>
        <w:tc>
          <w:tcPr/>
          <w:p>
            <w:pPr>
              <w:pStyle w:val="Compact"/>
            </w:pPr>
            <w:r>
              <w:t xml:space="preserve">Représentant :</w:t>
            </w:r>
          </w:p>
        </w:tc>
      </w:tr>
      <w:tr>
        <w:tc>
          <w:tcPr/>
          <w:p>
            <w:pPr>
              <w:pStyle w:val="Compact"/>
            </w:pPr>
            <w:r>
              <w:t xml:space="preserve">Marché ou contrat</w:t>
            </w:r>
          </w:p>
        </w:tc>
        <w:tc>
          <w:tcPr>
            <w:gridSpan w:val="2"/>
          </w:tcPr>
          <w:p>
            <w:pPr>
              <w:pStyle w:val="Compact"/>
            </w:pPr>
            <w:r>
              <w:t xml:space="preserve">Référence :</w:t>
            </w:r>
          </w:p>
        </w:tc>
        <w:tc>
          <w:tcPr/>
          <w:p>
            <w:pPr>
              <w:pStyle w:val="Compact"/>
            </w:pPr>
            <w:r>
              <w:t xml:space="preserve">Date :</w:t>
            </w:r>
          </w:p>
        </w:tc>
      </w:tr>
      <w:tr>
        <w:tc>
          <w:tcPr/>
          <w:p>
            <w:pPr>
              <w:pStyle w:val="Compact"/>
            </w:pPr>
            <w:r>
              <w:t xml:space="preserve">Visite ou inspection</w:t>
            </w:r>
          </w:p>
        </w:tc>
        <w:tc>
          <w:tcPr>
            <w:gridSpan w:val="2"/>
          </w:tcPr>
          <w:p>
            <w:pPr>
              <w:pStyle w:val="Compact"/>
            </w:pPr>
            <w:r>
              <w:t xml:space="preserve">Objet :</w:t>
            </w:r>
          </w:p>
        </w:tc>
        <w:tc>
          <w:tcPr/>
          <w:p>
            <w:pPr>
              <w:pStyle w:val="Compact"/>
            </w:pPr>
            <w:r>
              <w:t xml:space="preserve">Date :</w:t>
            </w:r>
          </w:p>
        </w:tc>
      </w:tr>
      <w:tr>
        <w:tc>
          <w:tcPr/>
          <w:p>
            <w:pPr>
              <w:pStyle w:val="Compact"/>
            </w:pPr>
            <w:r>
              <w:t xml:space="preserve">Procès-verbal de réception</w:t>
            </w:r>
          </w:p>
        </w:tc>
        <w:tc>
          <w:tcPr>
            <w:gridSpan w:val="2"/>
          </w:tcPr>
          <w:p>
            <w:pPr>
              <w:pStyle w:val="Compact"/>
            </w:pPr>
            <w:r>
              <w:t xml:space="preserve">Référence :</w:t>
            </w:r>
          </w:p>
        </w:tc>
        <w:tc>
          <w:tcPr/>
          <w:p>
            <w:pPr>
              <w:pStyle w:val="Compact"/>
            </w:pPr>
            <w:r>
              <w:t xml:space="preserve">Date de réception :</w:t>
            </w:r>
          </w:p>
        </w:tc>
      </w:tr>
      <w:tr>
        <w:tc>
          <w:tcPr/>
          <w:p>
            <w:pPr>
              <w:pStyle w:val="Compact"/>
            </w:pPr>
            <w:r>
              <w:t xml:space="preserve">Version de la liste</w:t>
            </w:r>
          </w:p>
        </w:tc>
        <w:tc>
          <w:tcPr/>
          <w:p>
            <w:pPr>
              <w:pStyle w:val="Compact"/>
            </w:pPr>
            <w:r>
              <w:t xml:space="preserve">N° :</w:t>
            </w:r>
          </w:p>
        </w:tc>
        <w:tc>
          <w:tcPr/>
          <w:p>
            <w:pPr>
              <w:pStyle w:val="Compact"/>
            </w:pPr>
            <w:r>
              <w:t xml:space="preserve">Mise à jour le :</w:t>
            </w:r>
          </w:p>
        </w:tc>
        <w:tc>
          <w:tcPr/>
          <w:p>
            <w:pPr>
              <w:pStyle w:val="Compact"/>
            </w:pPr>
            <w:r>
              <w:t xml:space="preserve">Établie par :</w:t>
            </w:r>
          </w:p>
        </w:tc>
      </w:tr>
    </w:tbl>
    <w:p>
      <w:pPr>
        <w:pStyle w:val="BodyText"/>
      </w:pPr>
      <w:r>
        <w:rPr>
          <w:b/>
          <w:bCs/>
        </w:rPr>
        <w:t xml:space="preserve">Phase :</w:t>
      </w:r>
      <w:r>
        <w:t xml:space="preserve"> </w:t>
      </w:r>
      <w:r>
        <w:t xml:space="preserve">☐ Constats en cours de chantier</w:t>
      </w:r>
      <w:r>
        <w:t xml:space="preserve"> </w:t>
      </w:r>
      <w:r>
        <w:t xml:space="preserve">☐ OPR et pré-réception</w:t>
      </w:r>
      <w:r>
        <w:t xml:space="preserve"> </w:t>
      </w:r>
      <w:r>
        <w:t xml:space="preserve">☐ Visite de réception</w:t>
      </w:r>
      <w:r>
        <w:t xml:space="preserve"> </w:t>
      </w:r>
      <w:r>
        <w:t xml:space="preserve">☐ Désordres constatés après réception</w:t>
      </w:r>
    </w:p>
    <w:bookmarkEnd w:id="9"/>
    <w:bookmarkStart w:id="12" w:name="référentiel-commun"/>
    <w:p>
      <w:pPr>
        <w:pStyle w:val="Heading2"/>
      </w:pPr>
      <w:r>
        <w:t xml:space="preserve">2</w:t>
      </w:r>
      <w:r>
        <w:t xml:space="preserve"> </w:t>
      </w:r>
      <w:r>
        <w:t xml:space="preserve">Référentiel commun</w:t>
      </w:r>
    </w:p>
    <w:p>
      <w:pPr>
        <w:pStyle w:val="FirstParagraph"/>
      </w:pPr>
      <w:r>
        <w:t xml:space="preserve">Pour un projet multi-sites, appliquez le même référentiel sur chaque implantation : mêmes identifiants, mêmes statuts, même lecture de la criticité et mêmes règles de validation.</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ook w:firstRow="0" w:lastRow="0" w:firstColumn="0" w:lastColumn="0" w:noHBand="0" w:noVBand="0" w:val="0000"/>
      </w:tblPr>
      <w:tblGrid>
        <w:gridCol w:w="1980"/>
        <w:gridCol w:w="1980"/>
        <w:gridCol w:w="1980"/>
        <w:gridCol w:w="1980"/>
      </w:tblGrid>
      <w:tr>
        <w:tc>
          <w:tcPr/>
          <w:p>
            <w:pPr>
              <w:pStyle w:val="Compact"/>
            </w:pPr>
            <w:r>
              <w:t xml:space="preserve">Format d'identifiant retenu</w:t>
            </w:r>
          </w:p>
        </w:tc>
        <w:tc>
          <w:tcPr>
            <w:gridSpan w:val="3"/>
          </w:tcPr>
          <w:p>
            <w:pPr>
              <w:pStyle w:val="Compact"/>
            </w:pPr>
            <w:r>
              <w:t xml:space="preserve">Exemple de structure : site, bâtiment, numéro d'ordre :</w:t>
            </w:r>
          </w:p>
        </w:tc>
      </w:tr>
      <w:tr>
        <w:tc>
          <w:tcPr/>
          <w:p>
            <w:pPr>
              <w:pStyle w:val="Compact"/>
            </w:pPr>
            <w:r>
              <w:t xml:space="preserve">Personne habilitée à valider la levée</w:t>
            </w:r>
          </w:p>
        </w:tc>
        <w:tc>
          <w:tcPr>
            <w:gridSpan w:val="3"/>
          </w:tcPr>
          <w:p>
            <w:pPr>
              <w:pStyle w:val="Compact"/>
            </w:pPr>
            <w:r>
              <w:t xml:space="preserve">Nom et qualité :</w:t>
            </w:r>
          </w:p>
        </w:tc>
      </w:tr>
    </w:tbl>
    <w:bookmarkStart w:id="10" w:name="Xc30eb5eb03b10a890a6b53c3d378202bd844f4b"/>
    <w:p>
      <w:pPr>
        <w:pStyle w:val="Heading3"/>
      </w:pPr>
      <w:r>
        <w:t xml:space="preserve">Statuts à utiliser dans la colonne « Statut »</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2059"/>
        <w:gridCol w:w="5860"/>
      </w:tblGrid>
      <w:tr>
        <w:trPr>
          <w:tblHeader w:val="on"/>
        </w:trPr>
        <w:tc>
          <w:tcPr/>
          <w:p>
            <w:pPr>
              <w:pStyle w:val="Compact"/>
            </w:pPr>
            <w:r>
              <w:t xml:space="preserve">Statut</w:t>
            </w:r>
          </w:p>
        </w:tc>
        <w:tc>
          <w:tcPr/>
          <w:p>
            <w:pPr>
              <w:pStyle w:val="Compact"/>
            </w:pPr>
            <w:r>
              <w:t xml:space="preserve">Condition d'attribution</w:t>
            </w:r>
          </w:p>
        </w:tc>
      </w:tr>
      <w:tr>
        <w:tc>
          <w:tcPr/>
          <w:p>
            <w:pPr>
              <w:pStyle w:val="Compact"/>
            </w:pPr>
            <w:r>
              <w:rPr>
                <w:b/>
                <w:bCs/>
              </w:rPr>
              <w:t xml:space="preserve">Ouverte</w:t>
            </w:r>
          </w:p>
        </w:tc>
        <w:tc>
          <w:tcPr/>
          <w:p>
            <w:pPr>
              <w:pStyle w:val="Compact"/>
            </w:pPr>
            <w:r>
              <w:t xml:space="preserve">Statut initial : la réserve est enregistrée, affectée à un responsable et assortie d'une échéance.</w:t>
            </w:r>
          </w:p>
        </w:tc>
      </w:tr>
      <w:tr>
        <w:tc>
          <w:tcPr/>
          <w:p>
            <w:pPr>
              <w:pStyle w:val="Compact"/>
            </w:pPr>
            <w:r>
              <w:rPr>
                <w:b/>
                <w:bCs/>
              </w:rPr>
              <w:t xml:space="preserve">Correction annoncée</w:t>
            </w:r>
          </w:p>
        </w:tc>
        <w:tc>
          <w:tcPr/>
          <w:p>
            <w:pPr>
              <w:pStyle w:val="Compact"/>
            </w:pPr>
            <w:r>
              <w:t xml:space="preserve">Le titulaire déclare son intervention terminée. Cette déclaration ne suffit pas à clôturer la ligne.</w:t>
            </w:r>
          </w:p>
        </w:tc>
      </w:tr>
      <w:tr>
        <w:tc>
          <w:tcPr/>
          <w:p>
            <w:pPr>
              <w:pStyle w:val="Compact"/>
            </w:pPr>
            <w:r>
              <w:rPr>
                <w:b/>
                <w:bCs/>
              </w:rPr>
              <w:t xml:space="preserve">Correction contrôlée</w:t>
            </w:r>
          </w:p>
        </w:tc>
        <w:tc>
          <w:tcPr/>
          <w:p>
            <w:pPr>
              <w:pStyle w:val="Compact"/>
            </w:pPr>
            <w:r>
              <w:t xml:space="preserve">Une vérification a été réalisée ; renseigner la date de contrôle et la preuve produite.</w:t>
            </w:r>
          </w:p>
        </w:tc>
      </w:tr>
      <w:tr>
        <w:tc>
          <w:tcPr/>
          <w:p>
            <w:pPr>
              <w:pStyle w:val="Compact"/>
            </w:pPr>
            <w:r>
              <w:rPr>
                <w:b/>
                <w:bCs/>
              </w:rPr>
              <w:t xml:space="preserve">Réserve levée</w:t>
            </w:r>
          </w:p>
        </w:tc>
        <w:tc>
          <w:tcPr/>
          <w:p>
            <w:pPr>
              <w:pStyle w:val="Compact"/>
            </w:pPr>
            <w:r>
              <w:t xml:space="preserve">Le résultat attendu a été accepté ; renseigner la date de levée. La clôture est formalisée dans un procès-verbal de levée des réserves distinct.</w:t>
            </w:r>
          </w:p>
        </w:tc>
      </w:tr>
    </w:tbl>
    <w:bookmarkEnd w:id="10"/>
    <w:bookmarkStart w:id="11" w:name="X5b338bc7f646f3090d2f564abf1d51d457b0b2f"/>
    <w:p>
      <w:pPr>
        <w:pStyle w:val="Heading3"/>
      </w:pPr>
      <w:r>
        <w:t xml:space="preserve">Criticité : conséquences possibles à indiquer</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2059"/>
        <w:gridCol w:w="5860"/>
      </w:tblGrid>
      <w:tr>
        <w:trPr>
          <w:tblHeader w:val="on"/>
        </w:trPr>
        <w:tc>
          <w:tcPr/>
          <w:p>
            <w:pPr>
              <w:pStyle w:val="Compact"/>
            </w:pPr>
            <w:r>
              <w:t xml:space="preserve">Conséquence</w:t>
            </w:r>
          </w:p>
        </w:tc>
        <w:tc>
          <w:tcPr/>
          <w:p>
            <w:pPr>
              <w:pStyle w:val="Compact"/>
            </w:pPr>
            <w:r>
              <w:t xml:space="preserve">Question à se poser</w:t>
            </w:r>
          </w:p>
        </w:tc>
      </w:tr>
      <w:tr>
        <w:tc>
          <w:tcPr/>
          <w:p>
            <w:pPr>
              <w:pStyle w:val="Compact"/>
            </w:pPr>
            <w:r>
              <w:rPr>
                <w:b/>
                <w:bCs/>
              </w:rPr>
              <w:t xml:space="preserve">Sécurité</w:t>
            </w:r>
          </w:p>
        </w:tc>
        <w:tc>
          <w:tcPr/>
          <w:p>
            <w:pPr>
              <w:pStyle w:val="Compact"/>
            </w:pPr>
            <w:r>
              <w:t xml:space="preserve">Le défaut expose-t-il les occupants ou les intervenants ?</w:t>
            </w:r>
          </w:p>
        </w:tc>
      </w:tr>
      <w:tr>
        <w:tc>
          <w:tcPr/>
          <w:p>
            <w:pPr>
              <w:pStyle w:val="Compact"/>
            </w:pPr>
            <w:r>
              <w:rPr>
                <w:b/>
                <w:bCs/>
              </w:rPr>
              <w:t xml:space="preserve">Conformité</w:t>
            </w:r>
          </w:p>
        </w:tc>
        <w:tc>
          <w:tcPr/>
          <w:p>
            <w:pPr>
              <w:pStyle w:val="Compact"/>
            </w:pPr>
            <w:r>
              <w:t xml:space="preserve">Le défaut affecte-t-il la conformité des installations ou une exigence du marché ?</w:t>
            </w:r>
          </w:p>
        </w:tc>
      </w:tr>
      <w:tr>
        <w:tc>
          <w:tcPr/>
          <w:p>
            <w:pPr>
              <w:pStyle w:val="Compact"/>
            </w:pPr>
            <w:r>
              <w:rPr>
                <w:b/>
                <w:bCs/>
              </w:rPr>
              <w:t xml:space="preserve">Disponibilité</w:t>
            </w:r>
          </w:p>
        </w:tc>
        <w:tc>
          <w:tcPr/>
          <w:p>
            <w:pPr>
              <w:pStyle w:val="Compact"/>
            </w:pPr>
            <w:r>
              <w:t xml:space="preserve">Un équipement est-il indisponible ou difficile à maintenir ?</w:t>
            </w:r>
          </w:p>
        </w:tc>
      </w:tr>
      <w:tr>
        <w:tc>
          <w:tcPr/>
          <w:p>
            <w:pPr>
              <w:pStyle w:val="Compact"/>
            </w:pPr>
            <w:r>
              <w:rPr>
                <w:b/>
                <w:bCs/>
              </w:rPr>
              <w:t xml:space="preserve">Continuité d'activité</w:t>
            </w:r>
          </w:p>
        </w:tc>
        <w:tc>
          <w:tcPr/>
          <w:p>
            <w:pPr>
              <w:pStyle w:val="Compact"/>
            </w:pPr>
            <w:r>
              <w:t xml:space="preserve">Le fonctionnement du site peut-il être perturbé ?</w:t>
            </w:r>
          </w:p>
        </w:tc>
      </w:tr>
    </w:tbl>
    <w:p>
      <w:pPr>
        <w:pStyle w:val="BodyText"/>
      </w:pPr>
      <w:r>
        <w:t xml:space="preserve">Indiquez dans la colonne « Criticité » une ou plusieurs conséquences, par exemple « Sécurité, conformité ».</w:t>
      </w:r>
    </w:p>
    <w:bookmarkEnd w:id="11"/>
    <w:bookmarkEnd w:id="12"/>
    <w:bookmarkStart w:id="13" w:name="liste-des-réserves"/>
    <w:p>
      <w:pPr>
        <w:sectPr>
          <w:pgSz w:w="11906" w:h="16838"/>
          <w:pgMar w:top="964" w:right="907" w:bottom="1020" w:left="907" w:header="567" w:footer="567" w:gutter="0"/>
        </w:sectPr>
      </w:pPr>
    </w:p>
    <w:p>
      <w:pPr>
        <w:pStyle w:val="Heading2"/>
      </w:pPr>
      <w:r>
        <w:t xml:space="preserve">3</w:t>
      </w:r>
      <w:r>
        <w:t xml:space="preserve"> </w:t>
      </w:r>
      <w:r>
        <w:t xml:space="preserve">Liste des réserves</w:t>
      </w:r>
    </w:p>
    <w:p>
      <w:pPr>
        <w:pStyle w:val="FirstParagraph"/>
      </w:pPr>
      <w:r>
        <w:t xml:space="preserve">Une ligne par réserve : ne regroupez jamais plusieurs problèmes sur une même ligne. Les deux premières lignes sont des exemples de formulation, à supprimer avant usage.</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364"/>
        <w:gridCol w:w="364"/>
        <w:gridCol w:w="396"/>
        <w:gridCol w:w="475"/>
        <w:gridCol w:w="506"/>
        <w:gridCol w:w="760"/>
        <w:gridCol w:w="760"/>
        <w:gridCol w:w="522"/>
        <w:gridCol w:w="348"/>
        <w:gridCol w:w="506"/>
        <w:gridCol w:w="554"/>
        <w:gridCol w:w="443"/>
        <w:gridCol w:w="475"/>
        <w:gridCol w:w="443"/>
        <w:gridCol w:w="554"/>
        <w:gridCol w:w="443"/>
      </w:tblGrid>
      <w:tr>
        <w:trPr>
          <w:tblHeader w:val="on"/>
        </w:trPr>
        <w:tc>
          <w:tcPr>
            <w:gridSpan w:val="5"/>
          </w:tcPr>
          <w:p>
            <w:pPr>
              <w:pStyle w:val="Compact"/>
            </w:pPr>
            <w:r>
              <w:t xml:space="preserve">Identification</w:t>
            </w:r>
          </w:p>
        </w:tc>
        <w:tc>
          <w:tcPr>
            <w:gridSpan w:val="4"/>
          </w:tcPr>
          <w:p>
            <w:pPr>
              <w:pStyle w:val="Compact"/>
            </w:pPr>
            <w:r>
              <w:t xml:space="preserve">Description</w:t>
            </w:r>
          </w:p>
        </w:tc>
        <w:tc>
          <w:tcPr>
            <w:gridSpan w:val="4"/>
          </w:tcPr>
          <w:p>
            <w:pPr>
              <w:pStyle w:val="Compact"/>
            </w:pPr>
            <w:r>
              <w:t xml:space="preserve">Affectation, échéance et statut</w:t>
            </w:r>
          </w:p>
        </w:tc>
        <w:tc>
          <w:tcPr>
            <w:gridSpan w:val="3"/>
          </w:tcPr>
          <w:p>
            <w:pPr>
              <w:pStyle w:val="Compact"/>
            </w:pPr>
            <w:r>
              <w:t xml:space="preserve">Contrôle</w:t>
            </w:r>
          </w:p>
        </w:tc>
      </w:tr>
      <w:tr>
        <w:tc>
          <w:tcPr/>
          <w:p>
            <w:pPr>
              <w:pStyle w:val="Compact"/>
            </w:pPr>
            <w:r>
              <w:t xml:space="preserve">ID</w:t>
            </w:r>
          </w:p>
        </w:tc>
        <w:tc>
          <w:tcPr/>
          <w:p>
            <w:pPr>
              <w:pStyle w:val="Compact"/>
            </w:pPr>
            <w:r>
              <w:t xml:space="preserve">Site</w:t>
            </w:r>
          </w:p>
        </w:tc>
        <w:tc>
          <w:tcPr/>
          <w:p>
            <w:pPr>
              <w:pStyle w:val="Compact"/>
            </w:pPr>
            <w:r>
              <w:t xml:space="preserve">Bâtiment</w:t>
            </w:r>
          </w:p>
        </w:tc>
        <w:tc>
          <w:tcPr/>
          <w:p>
            <w:pPr>
              <w:pStyle w:val="Compact"/>
            </w:pPr>
            <w:r>
              <w:t xml:space="preserve">Zone ou local</w:t>
            </w:r>
          </w:p>
        </w:tc>
        <w:tc>
          <w:tcPr/>
          <w:p>
            <w:pPr>
              <w:pStyle w:val="Compact"/>
            </w:pPr>
            <w:r>
              <w:t xml:space="preserve">Lot ou équipement</w:t>
            </w:r>
          </w:p>
        </w:tc>
        <w:tc>
          <w:tcPr/>
          <w:p>
            <w:pPr>
              <w:pStyle w:val="Compact"/>
            </w:pPr>
            <w:r>
              <w:t xml:space="preserve">Défaut constaté</w:t>
            </w:r>
          </w:p>
        </w:tc>
        <w:tc>
          <w:tcPr/>
          <w:p>
            <w:pPr>
              <w:pStyle w:val="Compact"/>
            </w:pPr>
            <w:r>
              <w:t xml:space="preserve">Correction attendue</w:t>
            </w:r>
          </w:p>
        </w:tc>
        <w:tc>
          <w:tcPr/>
          <w:p>
            <w:pPr>
              <w:pStyle w:val="Compact"/>
            </w:pPr>
            <w:r>
              <w:t xml:space="preserve">Référence marché ou plan</w:t>
            </w:r>
          </w:p>
        </w:tc>
        <w:tc>
          <w:tcPr/>
          <w:p>
            <w:pPr>
              <w:pStyle w:val="Compact"/>
            </w:pPr>
            <w:r>
              <w:t xml:space="preserve">Photo</w:t>
            </w:r>
          </w:p>
        </w:tc>
        <w:tc>
          <w:tcPr/>
          <w:p>
            <w:pPr>
              <w:pStyle w:val="Compact"/>
            </w:pPr>
            <w:r>
              <w:t xml:space="preserve">Criticité</w:t>
            </w:r>
          </w:p>
        </w:tc>
        <w:tc>
          <w:tcPr/>
          <w:p>
            <w:pPr>
              <w:pStyle w:val="Compact"/>
            </w:pPr>
            <w:r>
              <w:t xml:space="preserve">Entreprise responsable</w:t>
            </w:r>
          </w:p>
        </w:tc>
        <w:tc>
          <w:tcPr/>
          <w:p>
            <w:pPr>
              <w:pStyle w:val="Compact"/>
            </w:pPr>
            <w:r>
              <w:t xml:space="preserve">Échéance</w:t>
            </w:r>
          </w:p>
        </w:tc>
        <w:tc>
          <w:tcPr/>
          <w:p>
            <w:pPr>
              <w:pStyle w:val="Compact"/>
            </w:pPr>
            <w:r>
              <w:t xml:space="preserve">Statut</w:t>
            </w:r>
          </w:p>
        </w:tc>
        <w:tc>
          <w:tcPr/>
          <w:p>
            <w:pPr>
              <w:pStyle w:val="Compact"/>
            </w:pPr>
            <w:r>
              <w:t xml:space="preserve">Date de contrôle</w:t>
            </w:r>
          </w:p>
        </w:tc>
        <w:tc>
          <w:tcPr/>
          <w:p>
            <w:pPr>
              <w:pStyle w:val="Compact"/>
            </w:pPr>
            <w:r>
              <w:t xml:space="preserve">Preuve de levée</w:t>
            </w:r>
          </w:p>
        </w:tc>
        <w:tc>
          <w:tcPr/>
          <w:p>
            <w:pPr>
              <w:pStyle w:val="Compact"/>
            </w:pPr>
            <w:r>
              <w:t xml:space="preserve">Date de levée</w:t>
            </w:r>
          </w:p>
        </w:tc>
      </w:tr>
      <w:tr>
        <w:tc>
          <w:tcPr/>
          <w:p>
            <w:pPr>
              <w:pStyle w:val="Compact"/>
            </w:pPr>
            <w:r>
              <w:t xml:space="preserve">Exemple</w:t>
            </w:r>
          </w:p>
        </w:tc>
        <w:tc>
          <w:tcPr/>
          <w:p>
            <w:pPr>
              <w:pStyle w:val="Compact"/>
            </w:pPr>
            <w:r>
              <w:t xml:space="preserve">Site A</w:t>
            </w:r>
          </w:p>
        </w:tc>
        <w:tc>
          <w:tcPr/>
          <w:p>
            <w:pPr>
              <w:pStyle w:val="Compact"/>
            </w:pPr>
            <w:r>
              <w:t xml:space="preserve">Bâtiment 1</w:t>
            </w:r>
          </w:p>
        </w:tc>
        <w:tc>
          <w:tcPr/>
          <w:p>
            <w:pPr>
              <w:pStyle w:val="Compact"/>
            </w:pPr>
            <w:r>
              <w:t xml:space="preserve">Hall d'entrée</w:t>
            </w:r>
          </w:p>
        </w:tc>
        <w:tc>
          <w:tcPr/>
          <w:p>
            <w:pPr>
              <w:pStyle w:val="Compact"/>
            </w:pPr>
            <w:r>
              <w:t xml:space="preserve">Sécurité incendie</w:t>
            </w:r>
          </w:p>
        </w:tc>
        <w:tc>
          <w:tcPr/>
          <w:p>
            <w:pPr>
              <w:pStyle w:val="Compact"/>
            </w:pPr>
            <w:r>
              <w:t xml:space="preserve">Porte coupe-feu sans fermeture automatique</w:t>
            </w:r>
          </w:p>
        </w:tc>
        <w:tc>
          <w:tcPr/>
          <w:p>
            <w:pPr>
              <w:pStyle w:val="Compact"/>
            </w:pPr>
            <w:r>
              <w:t xml:space="preserve">Corriger le dispositif et tester la fermeture</w:t>
            </w:r>
          </w:p>
        </w:tc>
        <w:tc>
          <w:tcPr/>
          <w:p>
            <w:pPr>
              <w:pStyle w:val="Compact"/>
            </w:pPr>
            <w:r>
              <w:t xml:space="preserve">À renseigner</w:t>
            </w:r>
          </w:p>
        </w:tc>
        <w:tc>
          <w:tcPr/>
          <w:p>
            <w:pPr>
              <w:pStyle w:val="Compact"/>
            </w:pPr>
            <w:r>
              <w:t xml:space="preserve">Réf. photo</w:t>
            </w:r>
          </w:p>
        </w:tc>
        <w:tc>
          <w:tcPr/>
          <w:p>
            <w:pPr>
              <w:pStyle w:val="Compact"/>
            </w:pPr>
            <w:r>
              <w:t xml:space="preserve">Sécurité, conformité</w:t>
            </w:r>
          </w:p>
        </w:tc>
        <w:tc>
          <w:tcPr/>
          <w:p>
            <w:pPr>
              <w:pStyle w:val="Compact"/>
            </w:pPr>
            <w:r>
              <w:t xml:space="preserve">Titulaire du lot</w:t>
            </w:r>
          </w:p>
        </w:tc>
        <w:tc>
          <w:tcPr/>
          <w:p>
            <w:pPr>
              <w:pStyle w:val="Compact"/>
            </w:pPr>
            <w:r>
              <w:t xml:space="preserve">Date convenue</w:t>
            </w:r>
          </w:p>
        </w:tc>
        <w:tc>
          <w:tcPr/>
          <w:p>
            <w:pPr>
              <w:pStyle w:val="Compact"/>
            </w:pPr>
            <w:r>
              <w:t xml:space="preserve">Correction annoncée</w:t>
            </w:r>
          </w:p>
        </w:tc>
        <w:tc>
          <w:tcPr/>
          <w:p>
            <w:pPr>
              <w:pStyle w:val="Compact"/>
            </w:pPr>
          </w:p>
        </w:tc>
        <w:tc>
          <w:tcPr/>
          <w:p>
            <w:pPr>
              <w:pStyle w:val="Compact"/>
            </w:pPr>
            <w:r>
              <w:t xml:space="preserve">Résultat d'essai</w:t>
            </w:r>
          </w:p>
        </w:tc>
        <w:tc>
          <w:tcPr/>
          <w:p>
            <w:pPr>
              <w:pStyle w:val="Compact"/>
            </w:pPr>
          </w:p>
        </w:tc>
      </w:tr>
      <w:tr>
        <w:tc>
          <w:tcPr/>
          <w:p>
            <w:pPr>
              <w:pStyle w:val="Compact"/>
            </w:pPr>
            <w:r>
              <w:t xml:space="preserve">Exemple</w:t>
            </w:r>
          </w:p>
        </w:tc>
        <w:tc>
          <w:tcPr/>
          <w:p>
            <w:pPr>
              <w:pStyle w:val="Compact"/>
            </w:pPr>
            <w:r>
              <w:t xml:space="preserve">Site B</w:t>
            </w:r>
          </w:p>
        </w:tc>
        <w:tc>
          <w:tcPr/>
          <w:p>
            <w:pPr>
              <w:pStyle w:val="Compact"/>
            </w:pPr>
            <w:r>
              <w:t xml:space="preserve">Bâtiment unique</w:t>
            </w:r>
          </w:p>
        </w:tc>
        <w:tc>
          <w:tcPr/>
          <w:p>
            <w:pPr>
              <w:pStyle w:val="Compact"/>
            </w:pPr>
            <w:r>
              <w:t xml:space="preserve">Local technique</w:t>
            </w:r>
          </w:p>
        </w:tc>
        <w:tc>
          <w:tcPr/>
          <w:p>
            <w:pPr>
              <w:pStyle w:val="Compact"/>
            </w:pPr>
            <w:r>
              <w:t xml:space="preserve">Plomberie</w:t>
            </w:r>
          </w:p>
        </w:tc>
        <w:tc>
          <w:tcPr/>
          <w:p>
            <w:pPr>
              <w:pStyle w:val="Compact"/>
            </w:pPr>
            <w:r>
              <w:t xml:space="preserve">Pente d'évacuation insuffisante dans le local technique</w:t>
            </w:r>
          </w:p>
        </w:tc>
        <w:tc>
          <w:tcPr/>
          <w:p>
            <w:pPr>
              <w:pStyle w:val="Compact"/>
            </w:pPr>
            <w:r>
              <w:t xml:space="preserve">Reprendre l'évacuation et vérifier l'écoulement</w:t>
            </w:r>
          </w:p>
        </w:tc>
        <w:tc>
          <w:tcPr/>
          <w:p>
            <w:pPr>
              <w:pStyle w:val="Compact"/>
            </w:pPr>
            <w:r>
              <w:t xml:space="preserve">À renseigner</w:t>
            </w:r>
          </w:p>
        </w:tc>
        <w:tc>
          <w:tcPr/>
          <w:p>
            <w:pPr>
              <w:pStyle w:val="Compact"/>
            </w:pPr>
            <w:r>
              <w:t xml:space="preserve">Réf. photo</w:t>
            </w:r>
          </w:p>
        </w:tc>
        <w:tc>
          <w:tcPr/>
          <w:p>
            <w:pPr>
              <w:pStyle w:val="Compact"/>
            </w:pPr>
            <w:r>
              <w:t xml:space="preserve">Conformité, disponibilité</w:t>
            </w:r>
          </w:p>
        </w:tc>
        <w:tc>
          <w:tcPr/>
          <w:p>
            <w:pPr>
              <w:pStyle w:val="Compact"/>
            </w:pPr>
            <w:r>
              <w:t xml:space="preserve">Titulaire du lot</w:t>
            </w:r>
          </w:p>
        </w:tc>
        <w:tc>
          <w:tcPr/>
          <w:p>
            <w:pPr>
              <w:pStyle w:val="Compact"/>
            </w:pPr>
            <w:r>
              <w:t xml:space="preserve">Date convenue</w:t>
            </w:r>
          </w:p>
        </w:tc>
        <w:tc>
          <w:tcPr/>
          <w:p>
            <w:pPr>
              <w:pStyle w:val="Compact"/>
            </w:pPr>
            <w:r>
              <w:t xml:space="preserve">Ouverte</w:t>
            </w:r>
          </w:p>
        </w:tc>
        <w:tc>
          <w:tcPr/>
          <w:p>
            <w:pPr>
              <w:pStyle w:val="Compact"/>
            </w:pPr>
          </w:p>
        </w:tc>
        <w:tc>
          <w:tcPr/>
          <w:p>
            <w:pPr>
              <w:pStyle w:val="Compact"/>
            </w:pPr>
            <w:r>
              <w:t xml:space="preserve">Résultat du contrôle</w:t>
            </w: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Dupliquez cette page autant que nécessaire en poursuivant la numérotation. Une photographie n'est exploitable que si le site, la zone ou l'équipement peuvent être identifiés.</w:t>
      </w:r>
    </w:p>
    <w:p>
      <w:pPr>
        <w:sectPr>
          <w:pgSz w:w="16838" w:h="11906" w:orient="landscape"/>
          <w:pgMar w:top="680" w:right="680" w:bottom="794" w:left="680" w:header="454" w:footer="454" w:gutter="0"/>
        </w:sectPr>
      </w:pPr>
    </w:p>
    <w:bookmarkEnd w:id="13"/>
    <w:bookmarkStart w:id="15" w:name="synthèse-du-suivi"/>
    <w:p>
      <w:pPr>
        <w:pStyle w:val="Heading2"/>
      </w:pPr>
      <w:r>
        <w:t xml:space="preserve">4</w:t>
      </w:r>
      <w:r>
        <w:t xml:space="preserve"> </w:t>
      </w:r>
      <w:r>
        <w:t xml:space="preserve">Synthèse du suivi</w:t>
      </w:r>
    </w:p>
    <w:p>
      <w:pPr>
        <w:pStyle w:val="FirstParagraph"/>
      </w:pPr>
      <w:r>
        <w:t xml:space="preserve">À mettre à jour à chaque version de la liste, par site si l'opération en compte plusieurs.</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3643"/>
        <w:gridCol w:w="1425"/>
        <w:gridCol w:w="2851"/>
      </w:tblGrid>
      <w:tr>
        <w:trPr>
          <w:tblHeader w:val="on"/>
        </w:trPr>
        <w:tc>
          <w:tcPr/>
          <w:p>
            <w:pPr>
              <w:pStyle w:val="Compact"/>
            </w:pPr>
            <w:r>
              <w:t xml:space="preserve">Indicateur</w:t>
            </w:r>
          </w:p>
        </w:tc>
        <w:tc>
          <w:tcPr/>
          <w:p>
            <w:pPr>
              <w:pStyle w:val="Compact"/>
            </w:pPr>
            <w:r>
              <w:t xml:space="preserve">Nombre</w:t>
            </w:r>
          </w:p>
        </w:tc>
        <w:tc>
          <w:tcPr/>
          <w:p>
            <w:pPr>
              <w:pStyle w:val="Compact"/>
            </w:pPr>
            <w:r>
              <w:t xml:space="preserve">Observations</w:t>
            </w:r>
          </w:p>
        </w:tc>
      </w:tr>
      <w:tr>
        <w:tc>
          <w:tcPr/>
          <w:p>
            <w:pPr>
              <w:pStyle w:val="Compact"/>
            </w:pPr>
            <w:r>
              <w:t xml:space="preserve">Réserves enregistrées</w:t>
            </w:r>
          </w:p>
        </w:tc>
        <w:tc>
          <w:tcPr/>
          <w:p>
            <w:pPr>
              <w:pStyle w:val="Compact"/>
            </w:pPr>
          </w:p>
        </w:tc>
        <w:tc>
          <w:tcPr/>
          <w:p>
            <w:pPr>
              <w:pStyle w:val="Compact"/>
            </w:pPr>
          </w:p>
        </w:tc>
      </w:tr>
      <w:tr>
        <w:tc>
          <w:tcPr/>
          <w:p>
            <w:pPr>
              <w:pStyle w:val="Compact"/>
            </w:pPr>
            <w:r>
              <w:t xml:space="preserve">Ouvertes</w:t>
            </w:r>
          </w:p>
        </w:tc>
        <w:tc>
          <w:tcPr/>
          <w:p>
            <w:pPr>
              <w:pStyle w:val="Compact"/>
            </w:pPr>
          </w:p>
        </w:tc>
        <w:tc>
          <w:tcPr/>
          <w:p>
            <w:pPr>
              <w:pStyle w:val="Compact"/>
            </w:pPr>
          </w:p>
        </w:tc>
      </w:tr>
      <w:tr>
        <w:tc>
          <w:tcPr/>
          <w:p>
            <w:pPr>
              <w:pStyle w:val="Compact"/>
            </w:pPr>
            <w:r>
              <w:t xml:space="preserve">Correction annoncée</w:t>
            </w:r>
          </w:p>
        </w:tc>
        <w:tc>
          <w:tcPr/>
          <w:p>
            <w:pPr>
              <w:pStyle w:val="Compact"/>
            </w:pPr>
          </w:p>
        </w:tc>
        <w:tc>
          <w:tcPr/>
          <w:p>
            <w:pPr>
              <w:pStyle w:val="Compact"/>
            </w:pPr>
          </w:p>
        </w:tc>
      </w:tr>
      <w:tr>
        <w:tc>
          <w:tcPr/>
          <w:p>
            <w:pPr>
              <w:pStyle w:val="Compact"/>
            </w:pPr>
            <w:r>
              <w:t xml:space="preserve">Correction contrôlée</w:t>
            </w:r>
          </w:p>
        </w:tc>
        <w:tc>
          <w:tcPr/>
          <w:p>
            <w:pPr>
              <w:pStyle w:val="Compact"/>
            </w:pPr>
          </w:p>
        </w:tc>
        <w:tc>
          <w:tcPr/>
          <w:p>
            <w:pPr>
              <w:pStyle w:val="Compact"/>
            </w:pPr>
          </w:p>
        </w:tc>
      </w:tr>
      <w:tr>
        <w:tc>
          <w:tcPr/>
          <w:p>
            <w:pPr>
              <w:pStyle w:val="Compact"/>
            </w:pPr>
            <w:r>
              <w:t xml:space="preserve">Réserves levées</w:t>
            </w:r>
          </w:p>
        </w:tc>
        <w:tc>
          <w:tcPr/>
          <w:p>
            <w:pPr>
              <w:pStyle w:val="Compact"/>
            </w:pPr>
          </w:p>
        </w:tc>
        <w:tc>
          <w:tcPr/>
          <w:p>
            <w:pPr>
              <w:pStyle w:val="Compact"/>
            </w:pPr>
          </w:p>
        </w:tc>
      </w:tr>
      <w:tr>
        <w:tc>
          <w:tcPr/>
          <w:p>
            <w:pPr>
              <w:pStyle w:val="Compact"/>
            </w:pPr>
            <w:r>
              <w:t xml:space="preserve">Reste à lever (enregistrées − levées)</w:t>
            </w:r>
          </w:p>
        </w:tc>
        <w:tc>
          <w:tcPr/>
          <w:p>
            <w:pPr>
              <w:pStyle w:val="Compact"/>
            </w:pPr>
          </w:p>
        </w:tc>
        <w:tc>
          <w:tcPr/>
          <w:p>
            <w:pPr>
              <w:pStyle w:val="Compact"/>
            </w:pPr>
          </w:p>
        </w:tc>
      </w:tr>
      <w:tr>
        <w:tc>
          <w:tcPr/>
          <w:p>
            <w:pPr>
              <w:pStyle w:val="Compact"/>
            </w:pPr>
            <w:r>
              <w:t xml:space="preserve">Taux de levée (levées ÷ enregistrées)</w:t>
            </w:r>
          </w:p>
        </w:tc>
        <w:tc>
          <w:tcPr/>
          <w:p>
            <w:pPr>
              <w:pStyle w:val="Compact"/>
            </w:pPr>
            <w:r>
              <w:t xml:space="preserve">……… %</w:t>
            </w:r>
          </w:p>
        </w:tc>
        <w:tc>
          <w:tcPr/>
          <w:p>
            <w:pPr>
              <w:pStyle w:val="Compact"/>
            </w:pPr>
          </w:p>
        </w:tc>
      </w:tr>
      <w:tr>
        <w:tc>
          <w:tcPr/>
          <w:p>
            <w:pPr>
              <w:pStyle w:val="Compact"/>
            </w:pPr>
            <w:r>
              <w:t xml:space="preserve">Réserves touchant la sécurité</w:t>
            </w:r>
          </w:p>
        </w:tc>
        <w:tc>
          <w:tcPr/>
          <w:p>
            <w:pPr>
              <w:pStyle w:val="Compact"/>
            </w:pPr>
          </w:p>
        </w:tc>
        <w:tc>
          <w:tcPr/>
          <w:p>
            <w:pPr>
              <w:pStyle w:val="Compact"/>
            </w:pPr>
          </w:p>
        </w:tc>
      </w:tr>
    </w:tbl>
    <w:bookmarkStart w:id="14" w:name="historique-des-versions"/>
    <w:p>
      <w:pPr>
        <w:pStyle w:val="Heading3"/>
      </w:pPr>
      <w:r>
        <w:t xml:space="preserve">Historique des versions</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950"/>
        <w:gridCol w:w="1267"/>
        <w:gridCol w:w="2059"/>
        <w:gridCol w:w="3643"/>
      </w:tblGrid>
      <w:tr>
        <w:trPr>
          <w:tblHeader w:val="on"/>
        </w:trPr>
        <w:tc>
          <w:tcPr/>
          <w:p>
            <w:pPr>
              <w:pStyle w:val="Compact"/>
            </w:pPr>
            <w:r>
              <w:t xml:space="preserve">Version</w:t>
            </w:r>
          </w:p>
        </w:tc>
        <w:tc>
          <w:tcPr/>
          <w:p>
            <w:pPr>
              <w:pStyle w:val="Compact"/>
            </w:pPr>
            <w:r>
              <w:t xml:space="preserve">Date</w:t>
            </w:r>
          </w:p>
        </w:tc>
        <w:tc>
          <w:tcPr/>
          <w:p>
            <w:pPr>
              <w:pStyle w:val="Compact"/>
            </w:pPr>
            <w:r>
              <w:t xml:space="preserve">Établie par</w:t>
            </w:r>
          </w:p>
        </w:tc>
        <w:tc>
          <w:tcPr/>
          <w:p>
            <w:pPr>
              <w:pStyle w:val="Compact"/>
            </w:pPr>
            <w:r>
              <w:t xml:space="preserve">Diffusée à</w:t>
            </w:r>
          </w:p>
        </w:tc>
      </w:tr>
      <w:tr>
        <w:trPr>
          <w:trHeight w:val="454"/>
        </w:trPr>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r>
      <w:tr>
        <w:trPr>
          <w:trHeight w:val="454"/>
        </w:trPr>
        <w:tc>
          <w:tcPr/>
          <w:p>
            <w:pPr>
              <w:pStyle w:val="Compact"/>
            </w:pPr>
          </w:p>
        </w:tc>
        <w:tc>
          <w:tcPr/>
          <w:p>
            <w:pPr>
              <w:pStyle w:val="Compact"/>
            </w:pPr>
          </w:p>
        </w:tc>
        <w:tc>
          <w:tcPr/>
          <w:p>
            <w:pPr>
              <w:pStyle w:val="Compact"/>
            </w:pPr>
          </w:p>
        </w:tc>
        <w:tc>
          <w:tcPr/>
          <w:p>
            <w:pPr>
              <w:pStyle w:val="Compact"/>
            </w:pPr>
          </w:p>
        </w:tc>
      </w:tr>
    </w:tbl>
    <w:p>
      <w:pPr>
        <w:pStyle w:val="BodyText"/>
      </w:pPr>
      <w:r>
        <w:t xml:space="preserve">La liste reste cohérente avec les comptes rendus de chantier et les pièces annexées au procès-verbal de réception.</w:t>
      </w:r>
    </w:p>
    <w:bookmarkEnd w:id="14"/>
    <w:bookmarkEnd w:id="15"/>
    <w:bookmarkStart w:id="23" w:name="i-notice-dutilisation"/>
    <w:p>
      <w:pPr>
        <w:pStyle w:val="Heading2"/>
      </w:pPr>
      <w:r>
        <w:t xml:space="preserve">i</w:t>
      </w:r>
      <w:r>
        <w:t xml:space="preserve"> </w:t>
      </w:r>
      <w:r>
        <w:t xml:space="preserve">Notice d'utilisation</w:t>
      </w:r>
    </w:p>
    <w:bookmarkStart w:id="16" w:name="cadre-du-document"/>
    <w:p>
      <w:pPr>
        <w:pStyle w:val="Heading3"/>
      </w:pPr>
      <w:r>
        <w:t xml:space="preserve">Cadre du document</w:t>
      </w:r>
    </w:p>
    <w:p>
      <w:pPr>
        <w:pStyle w:val="Compact"/>
        <w:numPr>
          <w:ilvl w:val="0"/>
          <w:numId w:val="1001"/>
        </w:numPr>
      </w:pPr>
      <w:r>
        <w:rPr>
          <w:b/>
          <w:bCs/>
        </w:rPr>
        <w:t xml:space="preserve">Réception</w:t>
      </w:r>
      <w:r>
        <w:t xml:space="preserve"> </w:t>
      </w:r>
      <w:r>
        <w:t xml:space="preserve">: selon l'article 1792-6 du Code civil, la réception est l'acte par lequel le maître de l'ouvrage déclare accepter l'ouvrage avec ou sans réserves. Elle est prononcée contradictoirement, à l'amiable ou, à défaut, judiciairement. Les réserves sont annexées au procès-verbal de réception.</w:t>
      </w:r>
    </w:p>
    <w:p>
      <w:pPr>
        <w:pStyle w:val="Compact"/>
        <w:numPr>
          <w:ilvl w:val="0"/>
          <w:numId w:val="1001"/>
        </w:numPr>
      </w:pPr>
      <w:r>
        <w:rPr>
          <w:b/>
          <w:bCs/>
        </w:rPr>
        <w:t xml:space="preserve">Délais de correction</w:t>
      </w:r>
      <w:r>
        <w:t xml:space="preserve"> </w:t>
      </w:r>
      <w:r>
        <w:t xml:space="preserve">: ils sont fixés d'un commun accord entre le maître d'ouvrage et l'entreprise. À défaut d'accord ou d'exécution dans le délai, les travaux peuvent, après mise en demeure restée infructueuse, être réalisés aux frais et risques de l'entreprise défaillante.</w:t>
      </w:r>
    </w:p>
    <w:p>
      <w:pPr>
        <w:pStyle w:val="Compact"/>
        <w:numPr>
          <w:ilvl w:val="0"/>
          <w:numId w:val="1001"/>
        </w:numPr>
      </w:pPr>
      <w:r>
        <w:rPr>
          <w:b/>
          <w:bCs/>
        </w:rPr>
        <w:t xml:space="preserve">Acceptation sans réserve</w:t>
      </w:r>
      <w:r>
        <w:t xml:space="preserve"> </w:t>
      </w:r>
      <w:r>
        <w:t xml:space="preserve">: elle empêche en principe de signaler ensuite les défauts apparents. Consolidez la liste avant la visite de réception.</w:t>
      </w:r>
    </w:p>
    <w:p>
      <w:pPr>
        <w:pStyle w:val="Compact"/>
        <w:numPr>
          <w:ilvl w:val="0"/>
          <w:numId w:val="1001"/>
        </w:numPr>
      </w:pPr>
      <w:r>
        <w:rPr>
          <w:b/>
          <w:bCs/>
        </w:rPr>
        <w:t xml:space="preserve">Garantie de parfait achèvement</w:t>
      </w:r>
      <w:r>
        <w:t xml:space="preserve"> </w:t>
      </w:r>
      <w:r>
        <w:t xml:space="preserve">: elle couvre les désordres signalés à la réception ou notifiés par écrit pendant l'année qui suit. Utilisez la phase « Désordres constatés après réception » pour les suivre.</w:t>
      </w:r>
    </w:p>
    <w:p>
      <w:pPr>
        <w:pStyle w:val="Compact"/>
        <w:numPr>
          <w:ilvl w:val="0"/>
          <w:numId w:val="1001"/>
        </w:numPr>
      </w:pPr>
      <w:r>
        <w:rPr>
          <w:b/>
          <w:bCs/>
        </w:rPr>
        <w:t xml:space="preserve">Procès-verbal de réception</w:t>
      </w:r>
      <w:r>
        <w:t xml:space="preserve"> </w:t>
      </w:r>
      <w:r>
        <w:t xml:space="preserve">: il n'est pas modifié. La levée est formalisée dans un procès-verbal de levée des réserves distinct.</w:t>
      </w:r>
    </w:p>
    <w:p>
      <w:pPr>
        <w:pStyle w:val="Compact"/>
        <w:numPr>
          <w:ilvl w:val="0"/>
          <w:numId w:val="1001"/>
        </w:numPr>
      </w:pPr>
      <w:r>
        <w:rPr>
          <w:b/>
          <w:bCs/>
        </w:rPr>
        <w:t xml:space="preserve">Retenue de garantie</w:t>
      </w:r>
      <w:r>
        <w:t xml:space="preserve"> </w:t>
      </w:r>
      <w:r>
        <w:t xml:space="preserve">: elle peut représenter 5 % maximum du montant du marché et est libérée un an après la réception, sauf opposition motivée. Ce mécanisme reste distinct de la gestion de la liste.</w:t>
      </w:r>
    </w:p>
    <w:p>
      <w:pPr>
        <w:pStyle w:val="Compact"/>
        <w:numPr>
          <w:ilvl w:val="0"/>
          <w:numId w:val="1001"/>
        </w:numPr>
      </w:pPr>
      <w:r>
        <w:rPr>
          <w:b/>
          <w:bCs/>
        </w:rPr>
        <w:t xml:space="preserve">VEFA et CCMI</w:t>
      </w:r>
      <w:r>
        <w:t xml:space="preserve"> </w:t>
      </w:r>
      <w:r>
        <w:t xml:space="preserve">: en vente en l'état futur d'achèvement, le vendeur reste tenu des défauts apparents jusqu'à la réception et au moins un mois après la prise de possession. En contrat de construction de maison individuelle, le maître d'ouvrage non assisté par un professionnel peut dénoncer les vices apparents non signalés à la réception dans les 8 jours suivant la remise des clés, par lettre recommandée avec accusé de réception.</w:t>
      </w:r>
    </w:p>
    <w:bookmarkEnd w:id="16"/>
    <w:bookmarkStart w:id="17" w:name="préparer-la-visite"/>
    <w:p>
      <w:pPr>
        <w:pStyle w:val="Heading3"/>
      </w:pPr>
      <w:r>
        <w:t xml:space="preserve">Préparer la visite</w:t>
      </w:r>
    </w:p>
    <w:p>
      <w:pPr>
        <w:pStyle w:val="Compact"/>
        <w:numPr>
          <w:ilvl w:val="0"/>
          <w:numId w:val="1002"/>
        </w:numPr>
      </w:pPr>
      <w:r>
        <w:t xml:space="preserve">Réunissez les plans, les marchés, les descriptifs, les comptes rendus et les contrôles antérieurs.</w:t>
      </w:r>
    </w:p>
    <w:p>
      <w:pPr>
        <w:pStyle w:val="Compact"/>
        <w:numPr>
          <w:ilvl w:val="0"/>
          <w:numId w:val="1002"/>
        </w:numPr>
      </w:pPr>
      <w:r>
        <w:t xml:space="preserve">Définissez un parcours par site, bâtiment, zone, local, lot et équipement.</w:t>
      </w:r>
    </w:p>
    <w:p>
      <w:pPr>
        <w:pStyle w:val="Compact"/>
        <w:numPr>
          <w:ilvl w:val="0"/>
          <w:numId w:val="1002"/>
        </w:numPr>
      </w:pPr>
      <w:r>
        <w:t xml:space="preserve">Vérifiez que les locaux et les zones techniques peuvent être inspectés.</w:t>
      </w:r>
    </w:p>
    <w:p>
      <w:pPr>
        <w:pStyle w:val="Compact"/>
        <w:numPr>
          <w:ilvl w:val="0"/>
          <w:numId w:val="1002"/>
        </w:numPr>
      </w:pPr>
      <w:r>
        <w:t xml:space="preserve">Reprenez les réserves issues des contrôles précédents : vérifiez les lignes déjà enregistrées sans les recréer.</w:t>
      </w:r>
    </w:p>
    <w:p>
      <w:pPr>
        <w:pStyle w:val="Compact"/>
        <w:numPr>
          <w:ilvl w:val="0"/>
          <w:numId w:val="1002"/>
        </w:numPr>
      </w:pPr>
      <w:r>
        <w:t xml:space="preserve">Associez l'exploitant-mainteneur : accès techniques, repérage des installations et transmission des informations de gestion.</w:t>
      </w:r>
    </w:p>
    <w:bookmarkEnd w:id="17"/>
    <w:bookmarkStart w:id="18" w:name="rédiger-chaque-ligne"/>
    <w:p>
      <w:pPr>
        <w:pStyle w:val="Heading3"/>
      </w:pPr>
      <w:r>
        <w:t xml:space="preserve">Rédiger chaque ligne</w:t>
      </w:r>
    </w:p>
    <w:p>
      <w:pPr>
        <w:pStyle w:val="FirstParagraph"/>
      </w:pPr>
      <w:r>
        <w:t xml:space="preserve">Formulation homogène : « Site, bâtiment et zone — lot ou équipement — anomalie précise. Correction attendue — action vérifiable. Responsable — entreprise concernée. Échéance — date convenue. » Une mention telle que « finition à revoir » reste trop vague.</w:t>
      </w:r>
    </w:p>
    <w:p>
      <w:pPr>
        <w:pStyle w:val="Compact"/>
        <w:numPr>
          <w:ilvl w:val="0"/>
          <w:numId w:val="1003"/>
        </w:numPr>
      </w:pPr>
      <w:r>
        <w:t xml:space="preserve">Une seule réserve par ligne, décrite de façon objective.</w:t>
      </w:r>
    </w:p>
    <w:p>
      <w:pPr>
        <w:pStyle w:val="Compact"/>
        <w:numPr>
          <w:ilvl w:val="0"/>
          <w:numId w:val="1003"/>
        </w:numPr>
      </w:pPr>
      <w:r>
        <w:t xml:space="preserve">Le problème observé est séparé de la correction attendue.</w:t>
      </w:r>
    </w:p>
    <w:p>
      <w:pPr>
        <w:pStyle w:val="Compact"/>
        <w:numPr>
          <w:ilvl w:val="0"/>
          <w:numId w:val="1003"/>
        </w:numPr>
      </w:pPr>
      <w:r>
        <w:t xml:space="preserve">La référence au marché ou au plan est ajoutée lorsqu'elle existe.</w:t>
      </w:r>
    </w:p>
    <w:p>
      <w:pPr>
        <w:pStyle w:val="Compact"/>
        <w:numPr>
          <w:ilvl w:val="0"/>
          <w:numId w:val="1003"/>
        </w:numPr>
      </w:pPr>
      <w:r>
        <w:t xml:space="preserve">La photographie comporte une vue d'ensemble ou un repère de localisation.</w:t>
      </w:r>
    </w:p>
    <w:p>
      <w:pPr>
        <w:pStyle w:val="Compact"/>
        <w:numPr>
          <w:ilvl w:val="0"/>
          <w:numId w:val="1003"/>
        </w:numPr>
      </w:pPr>
      <w:r>
        <w:t xml:space="preserve">L'entreprise responsable et l'échéance sont toujours renseignées.</w:t>
      </w:r>
    </w:p>
    <w:p>
      <w:pPr>
        <w:pStyle w:val="Compact"/>
        <w:numPr>
          <w:ilvl w:val="0"/>
          <w:numId w:val="1003"/>
        </w:numPr>
      </w:pPr>
      <w:r>
        <w:t xml:space="preserve">Une correction annoncée n'est jamais confondue avec une correction contrôlée.</w:t>
      </w:r>
    </w:p>
    <w:bookmarkEnd w:id="18"/>
    <w:bookmarkStart w:id="19" w:name="suivre-la-levée-en-six-étapes"/>
    <w:p>
      <w:pPr>
        <w:pStyle w:val="Heading3"/>
      </w:pPr>
      <w:r>
        <w:t xml:space="preserve">Suivre la levée, en six étapes</w:t>
      </w:r>
    </w:p>
    <w:tbl>
      <w:tblPr>
        <w:tblStyle w:val="Table"/>
        <w:tblW w:type="pct" w:w="500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Layout w:type="fixed"/>
        <w:tblLook w:firstRow="1" w:lastRow="0" w:firstColumn="0" w:lastColumn="0" w:noHBand="0" w:noVBand="0" w:val="0020"/>
      </w:tblPr>
      <w:tblGrid>
        <w:gridCol w:w="792"/>
        <w:gridCol w:w="7128"/>
      </w:tblGrid>
      <w:tr>
        <w:trPr>
          <w:tblHeader w:val="on"/>
        </w:trPr>
        <w:tc>
          <w:tcPr/>
          <w:p>
            <w:pPr>
              <w:pStyle w:val="Compact"/>
            </w:pPr>
            <w:r>
              <w:t xml:space="preserve">Étape</w:t>
            </w:r>
          </w:p>
        </w:tc>
        <w:tc>
          <w:tcPr/>
          <w:p>
            <w:pPr>
              <w:pStyle w:val="Compact"/>
            </w:pPr>
            <w:r>
              <w:t xml:space="preserve">Action</w:t>
            </w:r>
          </w:p>
        </w:tc>
      </w:tr>
      <w:tr>
        <w:tc>
          <w:tcPr/>
          <w:p>
            <w:pPr>
              <w:pStyle w:val="Compact"/>
            </w:pPr>
            <w:r>
              <w:rPr>
                <w:b/>
                <w:bCs/>
              </w:rPr>
              <w:t xml:space="preserve">1</w:t>
            </w:r>
          </w:p>
        </w:tc>
        <w:tc>
          <w:tcPr/>
          <w:p>
            <w:pPr>
              <w:pStyle w:val="Compact"/>
            </w:pPr>
            <w:r>
              <w:t xml:space="preserve">Affectez chaque ligne au lot et au responsable concernés.</w:t>
            </w:r>
          </w:p>
        </w:tc>
      </w:tr>
      <w:tr>
        <w:tc>
          <w:tcPr/>
          <w:p>
            <w:pPr>
              <w:pStyle w:val="Compact"/>
            </w:pPr>
            <w:r>
              <w:rPr>
                <w:b/>
                <w:bCs/>
              </w:rPr>
              <w:t xml:space="preserve">2</w:t>
            </w:r>
          </w:p>
        </w:tc>
        <w:tc>
          <w:tcPr/>
          <w:p>
            <w:pPr>
              <w:pStyle w:val="Compact"/>
            </w:pPr>
            <w:r>
              <w:t xml:space="preserve">Fixez l'échéance convenue et renseignez le statut initial « Ouverte ».</w:t>
            </w:r>
          </w:p>
        </w:tc>
      </w:tr>
      <w:tr>
        <w:tc>
          <w:tcPr/>
          <w:p>
            <w:pPr>
              <w:pStyle w:val="Compact"/>
            </w:pPr>
            <w:r>
              <w:rPr>
                <w:b/>
                <w:bCs/>
              </w:rPr>
              <w:t xml:space="preserve">3</w:t>
            </w:r>
          </w:p>
        </w:tc>
        <w:tc>
          <w:tcPr/>
          <w:p>
            <w:pPr>
              <w:pStyle w:val="Compact"/>
            </w:pPr>
            <w:r>
              <w:t xml:space="preserve">Consignez les interventions, les relances et les éventuels blocages dans les comptes rendus de chantier.</w:t>
            </w:r>
          </w:p>
        </w:tc>
      </w:tr>
      <w:tr>
        <w:tc>
          <w:tcPr/>
          <w:p>
            <w:pPr>
              <w:pStyle w:val="Compact"/>
            </w:pPr>
            <w:r>
              <w:rPr>
                <w:b/>
                <w:bCs/>
              </w:rPr>
              <w:t xml:space="preserve">4</w:t>
            </w:r>
          </w:p>
        </w:tc>
        <w:tc>
          <w:tcPr/>
          <w:p>
            <w:pPr>
              <w:pStyle w:val="Compact"/>
            </w:pPr>
            <w:r>
              <w:t xml:space="preserve">Recueillez une preuve exploitable, comme une photographie contextualisée ou un résultat d'essai.</w:t>
            </w:r>
          </w:p>
        </w:tc>
      </w:tr>
      <w:tr>
        <w:tc>
          <w:tcPr/>
          <w:p>
            <w:pPr>
              <w:pStyle w:val="Compact"/>
            </w:pPr>
            <w:r>
              <w:rPr>
                <w:b/>
                <w:bCs/>
              </w:rPr>
              <w:t xml:space="preserve">5</w:t>
            </w:r>
          </w:p>
        </w:tc>
        <w:tc>
          <w:tcPr/>
          <w:p>
            <w:pPr>
              <w:pStyle w:val="Compact"/>
            </w:pPr>
            <w:r>
              <w:t xml:space="preserve">Contrôlez les travaux de reprise sur le site lorsque leur nature l'exige.</w:t>
            </w:r>
          </w:p>
        </w:tc>
      </w:tr>
      <w:tr>
        <w:tc>
          <w:tcPr/>
          <w:p>
            <w:pPr>
              <w:pStyle w:val="Compact"/>
            </w:pPr>
            <w:r>
              <w:rPr>
                <w:b/>
                <w:bCs/>
              </w:rPr>
              <w:t xml:space="preserve">6</w:t>
            </w:r>
          </w:p>
        </w:tc>
        <w:tc>
          <w:tcPr/>
          <w:p>
            <w:pPr>
              <w:pStyle w:val="Compact"/>
            </w:pPr>
            <w:r>
              <w:t xml:space="preserve">Validez la levée, archivez les pièces et signez un procès-verbal de levée des réserves.</w:t>
            </w:r>
          </w:p>
        </w:tc>
      </w:tr>
    </w:tbl>
    <w:bookmarkEnd w:id="19"/>
    <w:bookmarkStart w:id="22" w:name="après-la-levée"/>
    <w:p>
      <w:pPr>
        <w:pStyle w:val="Heading3"/>
      </w:pPr>
      <w:r>
        <w:t xml:space="preserve">Après la levée</w:t>
      </w:r>
    </w:p>
    <w:p>
      <w:pPr>
        <w:pStyle w:val="FirstParagraph"/>
      </w:pPr>
      <w:r>
        <w:t xml:space="preserve">Transférez vers la maintenance les anomalies résiduelles, les documents techniques et les preuves disponibles. Cet archivage préserve l'historique de l'ouvrage et évite une rupture d'information entre la construction et l'exploitation.</w:t>
      </w:r>
    </w:p>
    <w:p>
      <w:pPr>
        <w:pStyle w:val="BodyText"/>
      </w:pPr>
      <w:r>
        <w:t xml:space="preserve">Passer à l'action</w:t>
      </w:r>
    </w:p>
    <w:bookmarkStart w:id="21" w:name="X9a0a17475862e848f2c493de489516c65add517"/>
    <w:p>
      <w:pPr>
        <w:pStyle w:val="Heading4"/>
      </w:pPr>
      <w:r>
        <w:t xml:space="preserve">Vos sites méritent un pilotage cohérent et performant.</w:t>
      </w:r>
    </w:p>
    <w:p>
      <w:pPr>
        <w:pStyle w:val="FirstParagraph"/>
      </w:pPr>
      <w:r>
        <w:t xml:space="preserve">Harmony by Depanneo reprend votre parc, structure vos SLA et centralise le pilotage de votre maintenance sur l'ensemble de vos sites — partout en France. Demandez un audit de parc : on évalue vos installations et on cadre votre maintenance.</w:t>
      </w:r>
    </w:p>
    <w:p>
      <w:pPr>
        <w:pStyle w:val="BodyText"/>
      </w:pPr>
      <w:hyperlink r:id="rId20">
        <w:r>
          <w:rPr>
            <w:rStyle w:val="Hyperlink"/>
          </w:rPr>
          <w:t xml:space="preserve">Demander un audit de parc</w:t>
        </w:r>
      </w:hyperlink>
      <w:r>
        <w:t xml:space="preserve"> </w:t>
      </w:r>
      <w:r>
        <w:t xml:space="preserve">ou 09 72 19 64 14</w:t>
      </w:r>
    </w:p>
    <w:bookmarkEnd w:id="21"/>
    <w:bookmarkEnd w:id="22"/>
    <w:bookmarkEnd w:id="23"/>
    <w:bookmarkEnd w:id="24"/>
    <w:sectPr>
      <w:footnotePr>
        <w:numRestart w:val="eachSect"/>
      </w:footnotePr>
      <w:pgSz w:w="11906" w:h="16838"/>
      <w:pgMar w:top="964" w:right="907" w:bottom="1020" w:left="907" w:header="567" w:footer="567"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sz w:val="17"/>
      <w:szCs w:val="17"/>
    </w:r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val="single" w:sz="4" w:space="0" w:color="BFB5A6"/>
        <w:left w:val="single" w:sz="4" w:space="0" w:color="BFB5A6"/>
        <w:bottom w:val="single" w:sz="4" w:space="0" w:color="BFB5A6"/>
        <w:right w:val="single" w:sz="4" w:space="0" w:color="BFB5A6"/>
        <w:insideH w:val="single" w:sz="4" w:space="0" w:color="BFB5A6"/>
        <w:insideV w:val="single" w:sz="4" w:space="0" w:color="BFB5A6"/>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https://www.depanneo.com/harmony/contact/" TargetMode="External" /></Relationships>
</file>

<file path=word/_rels/footnotes.xml.rels><?xml version="1.0" encoding="UTF-8"?><Relationships xmlns="http://schemas.openxmlformats.org/package/2006/relationships"><Relationship Type="http://schemas.openxmlformats.org/officeDocument/2006/relationships/hyperlink" Id="rId20" Target="https://www.depanneo.com/harmony/contac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2026-10-05T14:37:02Z</dcterms:created>
  <dcterms:modified xsi:type="dcterms:W3CDTF">2026-10-05T14:37:02Z</dcterms:modified>
</cp:coreProperties>
</file>

<file path=docProps/custom.xml><?xml version="1.0" encoding="utf-8"?>
<Properties xmlns="http://schemas.openxmlformats.org/officeDocument/2006/custom-properties" xmlns:vt="http://schemas.openxmlformats.org/officeDocument/2006/docPropsVTypes"/>
</file>