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KPI ET INDICATEURS · RÉFÉRENTIEL À COMPLÉTER</w:t>
      </w:r>
    </w:p>
    <w:bookmarkStart w:id="20" w:name="X6e6e7ffe6aeec9ffa534d1a2dc46c2794e81eea"/>
    <w:p>
      <w:pPr>
        <w:pStyle w:val="Heading1"/>
      </w:pPr>
      <w:r>
        <w:t xml:space="preserve">Référentiel des KPI de maintenance : définitions, formules et règles communes</w:t>
      </w:r>
    </w:p>
    <w:p>
      <w:pPr>
        <w:pStyle w:val="FirstParagraph"/>
      </w:pPr>
      <w:r>
        <w:t xml:space="preserve">Ce référentiel reprend les 12 KPI de maintenance d'un parc multi-sites, avec pour chacun sa définition ou son calcul, sa source, sa fréquence de revue et la décision associée. Il sert ensuite à fixer, indicateur par indicateur, le propriétaire, le périmètre et les règles d'exclusion. Objectif : que chaque bâtiment produise ses résultats avec les mêmes conventions, pour que les achats, l'exploitation et les prestataires lisent les mêmes chiffres.</w:t>
      </w:r>
    </w:p>
    <w:p>
      <w:pPr>
        <w:pStyle w:val="BodyText"/>
      </w:pPr>
      <w:r>
        <w:rPr>
          <w:b/>
          <w:bCs/>
        </w:rPr>
        <w:t xml:space="preserve">Important :</w:t>
      </w:r>
      <w:r>
        <w:t xml:space="preserve"> </w:t>
      </w:r>
      <w:r>
        <w:t xml:space="preserve">modèle fourni à titre indicatif, à adapter et à faire valider avant usage. Il ne fixe aucune cible chiffrée : les objectifs, seuils et exclusions relèvent de votre organisation, de la criticité de votre parc et de vos engagements contractuels. Ce support ne remplace ni la GMAO ni le logiciel de gestion : il formalise les conventions utilisées pour produire et comparer les résultats. La terminologie peut s'appuyer sur la NF EN 13306, la NF EN 15341 et le cadre général de la NF X 60-000.</w:t>
      </w:r>
    </w:p>
    <w:bookmarkStart w:id="9" w:name="mode-demploi"/>
    <w:p>
      <w:pPr>
        <w:pStyle w:val="Heading2"/>
      </w:pPr>
      <w:r>
        <w:t xml:space="preserve">0</w:t>
      </w:r>
      <w:r>
        <w:t xml:space="preserve"> </w:t>
      </w:r>
      <w:r>
        <w:t xml:space="preserve">Mode d'emploi</w:t>
      </w:r>
    </w:p>
    <w:p>
      <w:pPr>
        <w:pStyle w:val="Compact"/>
        <w:numPr>
          <w:ilvl w:val="0"/>
          <w:numId w:val="1001"/>
        </w:numPr>
      </w:pPr>
      <w:r>
        <w:rPr>
          <w:b/>
          <w:bCs/>
        </w:rPr>
        <w:t xml:space="preserve">Sélectionnez vos KPI.</w:t>
      </w:r>
      <w:r>
        <w:t xml:space="preserve"> </w:t>
      </w:r>
      <w:r>
        <w:t xml:space="preserve">Cochez dans la partie 2 les indicateurs retenus. Il n'est pas nécessaire de suivre les douze avec la même intensité : la sélection dépend de la criticité du parc.</w:t>
      </w:r>
    </w:p>
    <w:p>
      <w:pPr>
        <w:pStyle w:val="Compact"/>
        <w:numPr>
          <w:ilvl w:val="0"/>
          <w:numId w:val="1001"/>
        </w:numPr>
      </w:pPr>
      <w:r>
        <w:rPr>
          <w:b/>
          <w:bCs/>
        </w:rPr>
        <w:t xml:space="preserve">Paramétrez chaque KPI retenu</w:t>
      </w:r>
      <w:r>
        <w:t xml:space="preserve"> </w:t>
      </w:r>
      <w:r>
        <w:t xml:space="preserve">dans la partie 3 : propriétaire, périmètre, règles d'exclusion, cible et échéance.</w:t>
      </w:r>
    </w:p>
    <w:p>
      <w:pPr>
        <w:pStyle w:val="Compact"/>
        <w:numPr>
          <w:ilvl w:val="0"/>
          <w:numId w:val="1001"/>
        </w:numPr>
      </w:pPr>
      <w:r>
        <w:rPr>
          <w:b/>
          <w:bCs/>
        </w:rPr>
        <w:t xml:space="preserve">Fixez les conventions communes</w:t>
      </w:r>
      <w:r>
        <w:t xml:space="preserve"> </w:t>
      </w:r>
      <w:r>
        <w:t xml:space="preserve">(partie 4) avant toute consolidation multi-sites. Une formule identique peut produire des résultats incompatibles si les événements retenus, les horaires d'exploitation ou les règles de saisie diffèrent.</w:t>
      </w:r>
    </w:p>
    <w:p>
      <w:pPr>
        <w:pStyle w:val="Compact"/>
        <w:numPr>
          <w:ilvl w:val="0"/>
          <w:numId w:val="1001"/>
        </w:numPr>
      </w:pPr>
      <w:r>
        <w:rPr>
          <w:b/>
          <w:bCs/>
        </w:rPr>
        <w:t xml:space="preserve">Vérifiez les données GMAO</w:t>
      </w:r>
      <w:r>
        <w:t xml:space="preserve"> </w:t>
      </w:r>
      <w:r>
        <w:t xml:space="preserve">(partie 5) : les champs utiles doivent être renseignés sur chaque ordre de travail.</w:t>
      </w:r>
    </w:p>
    <w:p>
      <w:pPr>
        <w:pStyle w:val="Compact"/>
        <w:numPr>
          <w:ilvl w:val="0"/>
          <w:numId w:val="1001"/>
        </w:numPr>
      </w:pPr>
      <w:r>
        <w:rPr>
          <w:b/>
          <w:bCs/>
        </w:rPr>
        <w:t xml:space="preserve">Formalisez les objectifs</w:t>
      </w:r>
      <w:r>
        <w:t xml:space="preserve"> </w:t>
      </w:r>
      <w:r>
        <w:t xml:space="preserve">(partie 6) et la répartition des responsabilités (partie 7), puis faites valider le référentiel (partie 8).</w:t>
      </w:r>
    </w:p>
    <w:p>
      <w:pPr>
        <w:pStyle w:val="Compact"/>
        <w:numPr>
          <w:ilvl w:val="0"/>
          <w:numId w:val="1001"/>
        </w:numPr>
      </w:pPr>
      <w:r>
        <w:rPr>
          <w:b/>
          <w:bCs/>
        </w:rPr>
        <w:t xml:space="preserve">Le fichier Excel associé</w:t>
      </w:r>
      <w:r>
        <w:t xml:space="preserve"> </w:t>
      </w:r>
      <w:r>
        <w:t xml:space="preserve">reprend ce référentiel et calcule les KPI par site et par période à partir des données saisies.</w:t>
      </w:r>
    </w:p>
    <w:bookmarkEnd w:id="9"/>
    <w:bookmarkStart w:id="10" w:name="identification-du-référentiel"/>
    <w:p>
      <w:pPr>
        <w:pStyle w:val="Heading2"/>
      </w:pPr>
      <w:r>
        <w:t xml:space="preserve">1</w:t>
      </w:r>
      <w:r>
        <w:t xml:space="preserve"> </w:t>
      </w:r>
      <w:r>
        <w:t xml:space="preserve">Identification du référentiel</w:t>
      </w:r>
    </w:p>
    <w:tbl>
      <w:tblPr>
        <w:tblStyle w:val="Table"/>
        <w:tblW w:type="pct" w:w="5000"/>
        <w:tblLayout w:type="fixed"/>
        <w:tblLook w:firstRow="1" w:lastRow="0" w:firstColumn="0" w:lastColumn="0" w:noHBand="0" w:noVBand="0" w:val="0020"/>
      </w:tblPr>
      <w:tblGrid>
        <w:gridCol w:w="1900"/>
        <w:gridCol w:w="2059"/>
        <w:gridCol w:w="1742"/>
        <w:gridCol w:w="2217"/>
      </w:tblGrid>
      <w:tr>
        <w:trPr>
          <w:tblHeader w:val="on"/>
        </w:trPr>
        <w:tc>
          <w:tcPr>
            <w:gridSpan w:val="4"/>
          </w:tcPr>
          <w:p>
            <w:pPr>
              <w:pStyle w:val="Compact"/>
            </w:pPr>
            <w:r>
              <w:t xml:space="preserve">Organisation et périmètre</w:t>
            </w:r>
          </w:p>
        </w:tc>
      </w:tr>
      <w:tr>
        <w:tc>
          <w:tcPr/>
          <w:p>
            <w:pPr>
              <w:pStyle w:val="Compact"/>
            </w:pPr>
            <w:r>
              <w:rPr>
                <w:b/>
                <w:bCs/>
              </w:rPr>
              <w:t xml:space="preserve">Organisation</w:t>
            </w:r>
          </w:p>
        </w:tc>
        <w:tc>
          <w:tcPr/>
          <w:p>
            <w:pPr>
              <w:pStyle w:val="Compact"/>
            </w:pPr>
            <w:r>
              <w:t xml:space="preserve"> </w:t>
            </w:r>
          </w:p>
        </w:tc>
        <w:tc>
          <w:tcPr/>
          <w:p>
            <w:pPr>
              <w:pStyle w:val="Compact"/>
            </w:pPr>
            <w:r>
              <w:rPr>
                <w:b/>
                <w:bCs/>
              </w:rPr>
              <w:t xml:space="preserve">Version du référentiel</w:t>
            </w:r>
          </w:p>
        </w:tc>
        <w:tc>
          <w:tcPr/>
          <w:p>
            <w:pPr>
              <w:pStyle w:val="Compact"/>
            </w:pPr>
            <w:r>
              <w:t xml:space="preserve"> </w:t>
            </w:r>
          </w:p>
        </w:tc>
      </w:tr>
      <w:tr>
        <w:tc>
          <w:tcPr/>
          <w:p>
            <w:pPr>
              <w:pStyle w:val="Compact"/>
            </w:pPr>
            <w:r>
              <w:rPr>
                <w:b/>
                <w:bCs/>
              </w:rPr>
              <w:t xml:space="preserve">Responsable du référentiel</w:t>
            </w:r>
          </w:p>
        </w:tc>
        <w:tc>
          <w:tcPr/>
          <w:p>
            <w:pPr>
              <w:pStyle w:val="Compact"/>
            </w:pPr>
            <w:r>
              <w:t xml:space="preserve"> </w:t>
            </w:r>
          </w:p>
        </w:tc>
        <w:tc>
          <w:tcPr/>
          <w:p>
            <w:pPr>
              <w:pStyle w:val="Compact"/>
            </w:pPr>
            <w:r>
              <w:rPr>
                <w:b/>
                <w:bCs/>
              </w:rPr>
              <w:t xml:space="preserve">Date d'application</w:t>
            </w:r>
          </w:p>
        </w:tc>
        <w:tc>
          <w:tcPr/>
          <w:p>
            <w:pPr>
              <w:pStyle w:val="Compact"/>
            </w:pPr>
            <w:r>
              <w:t xml:space="preserve"> </w:t>
            </w:r>
          </w:p>
        </w:tc>
      </w:tr>
      <w:tr>
        <w:tc>
          <w:tcPr/>
          <w:p>
            <w:pPr>
              <w:pStyle w:val="Compact"/>
            </w:pPr>
            <w:r>
              <w:rPr>
                <w:b/>
                <w:bCs/>
              </w:rPr>
              <w:t xml:space="preserve">Sites inclus</w:t>
            </w:r>
          </w:p>
        </w:tc>
        <w:tc>
          <w:tcPr>
            <w:gridSpan w:val="3"/>
          </w:tcPr>
          <w:p>
            <w:pPr>
              <w:pStyle w:val="Compact"/>
            </w:pPr>
            <w:r>
              <w:t xml:space="preserve"> </w:t>
            </w:r>
          </w:p>
        </w:tc>
      </w:tr>
      <w:tr>
        <w:tc>
          <w:tcPr/>
          <w:p>
            <w:pPr>
              <w:pStyle w:val="Compact"/>
            </w:pPr>
            <w:r>
              <w:rPr>
                <w:b/>
                <w:bCs/>
              </w:rPr>
              <w:t xml:space="preserve">Actifs et familles techniques inclus</w:t>
            </w:r>
          </w:p>
        </w:tc>
        <w:tc>
          <w:tcPr>
            <w:gridSpan w:val="3"/>
          </w:tcPr>
          <w:p>
            <w:pPr>
              <w:pStyle w:val="Compact"/>
            </w:pPr>
            <w:r>
              <w:t xml:space="preserve">☐ CVC   ☐ Électricité   ☐ Plomberie   ☐ Sécurité incendie   ☐ Autre : ______________</w:t>
            </w:r>
          </w:p>
        </w:tc>
      </w:tr>
      <w:tr>
        <w:tc>
          <w:tcPr/>
          <w:p>
            <w:pPr>
              <w:pStyle w:val="Compact"/>
            </w:pPr>
            <w:r>
              <w:rPr>
                <w:b/>
                <w:bCs/>
              </w:rPr>
              <w:t xml:space="preserve">Contexte contractuel</w:t>
            </w:r>
          </w:p>
        </w:tc>
        <w:tc>
          <w:tcPr>
            <w:gridSpan w:val="3"/>
          </w:tcPr>
          <w:p>
            <w:pPr>
              <w:pStyle w:val="Compact"/>
            </w:pPr>
            <w:r>
              <w:t xml:space="preserve">☐ P2 (conduite et maintenance courante)   ☐ P3 (renouvellement selon le périmètre convenu)   ☐ Maintenance internalisée</w:t>
            </w:r>
          </w:p>
        </w:tc>
      </w:tr>
      <w:tr>
        <w:tc>
          <w:tcPr/>
          <w:p>
            <w:pPr>
              <w:pStyle w:val="Compact"/>
            </w:pPr>
            <w:r>
              <w:rPr>
                <w:b/>
                <w:bCs/>
              </w:rPr>
              <w:t xml:space="preserve">Outil de référence</w:t>
            </w:r>
          </w:p>
        </w:tc>
        <w:tc>
          <w:tcPr/>
          <w:p>
            <w:pPr>
              <w:pStyle w:val="Compact"/>
            </w:pPr>
            <w:r>
              <w:t xml:space="preserve">GMAO :</w:t>
            </w:r>
          </w:p>
        </w:tc>
        <w:tc>
          <w:tcPr/>
          <w:p>
            <w:pPr>
              <w:pStyle w:val="Compact"/>
            </w:pPr>
            <w:r>
              <w:rPr>
                <w:b/>
                <w:bCs/>
              </w:rPr>
              <w:t xml:space="preserve">Prochaine revue</w:t>
            </w:r>
          </w:p>
        </w:tc>
        <w:tc>
          <w:tcPr/>
          <w:p>
            <w:pPr>
              <w:pStyle w:val="Compact"/>
            </w:pPr>
            <w:r>
              <w:t xml:space="preserve"> </w:t>
            </w:r>
          </w:p>
        </w:tc>
      </w:tr>
    </w:tbl>
    <w:bookmarkEnd w:id="10"/>
    <w:bookmarkStart w:id="11" w:name="les-12-kpi-de-maintenance"/>
    <w:p>
      <w:pPr>
        <w:pStyle w:val="Heading2"/>
      </w:pPr>
      <w:r>
        <w:t xml:space="preserve">2</w:t>
      </w:r>
      <w:r>
        <w:t xml:space="preserve"> </w:t>
      </w:r>
      <w:r>
        <w:t xml:space="preserve">Les 12 KPI de maintenance</w:t>
      </w:r>
    </w:p>
    <w:p>
      <w:pPr>
        <w:pStyle w:val="FirstParagraph"/>
      </w:pPr>
      <w:r>
        <w:t xml:space="preserve">Le socle couvre la fiabilité, la maintenabilité et la disponibilité (FMD), l'exécution, la capacité disponible, les engagements de service et les résultats économiques.</w:t>
      </w:r>
    </w:p>
    <w:tbl>
      <w:tblPr>
        <w:tblStyle w:val="Table"/>
        <w:tblW w:type="pct" w:w="5000"/>
        <w:tblLayout w:type="fixed"/>
        <w:tblLook w:firstRow="1" w:lastRow="0" w:firstColumn="0" w:lastColumn="0" w:noHBand="0" w:noVBand="0" w:val="0020"/>
      </w:tblPr>
      <w:tblGrid>
        <w:gridCol w:w="475"/>
        <w:gridCol w:w="1108"/>
        <w:gridCol w:w="1980"/>
        <w:gridCol w:w="1504"/>
        <w:gridCol w:w="1346"/>
        <w:gridCol w:w="1504"/>
      </w:tblGrid>
      <w:tr>
        <w:trPr>
          <w:tblHeader w:val="on"/>
        </w:trPr>
        <w:tc>
          <w:tcPr/>
          <w:p>
            <w:pPr>
              <w:pStyle w:val="Compact"/>
            </w:pPr>
            <w:r>
              <w:t xml:space="preserve">Retenu</w:t>
            </w:r>
          </w:p>
        </w:tc>
        <w:tc>
          <w:tcPr/>
          <w:p>
            <w:pPr>
              <w:pStyle w:val="Compact"/>
            </w:pPr>
            <w:r>
              <w:t xml:space="preserve">KPI</w:t>
            </w:r>
          </w:p>
        </w:tc>
        <w:tc>
          <w:tcPr/>
          <w:p>
            <w:pPr>
              <w:pStyle w:val="Compact"/>
            </w:pPr>
            <w:r>
              <w:t xml:space="preserve">Définition ou calcul</w:t>
            </w:r>
          </w:p>
        </w:tc>
        <w:tc>
          <w:tcPr/>
          <w:p>
            <w:pPr>
              <w:pStyle w:val="Compact"/>
            </w:pPr>
            <w:r>
              <w:t xml:space="preserve">Décision associée</w:t>
            </w:r>
          </w:p>
        </w:tc>
        <w:tc>
          <w:tcPr/>
          <w:p>
            <w:pPr>
              <w:pStyle w:val="Compact"/>
            </w:pPr>
            <w:r>
              <w:t xml:space="preserve">Source</w:t>
            </w:r>
          </w:p>
        </w:tc>
        <w:tc>
          <w:tcPr/>
          <w:p>
            <w:pPr>
              <w:pStyle w:val="Compact"/>
            </w:pPr>
            <w:r>
              <w:t xml:space="preserve">Revue</w:t>
            </w:r>
          </w:p>
        </w:tc>
      </w:tr>
      <w:tr>
        <w:tc>
          <w:tcPr/>
          <w:p>
            <w:pPr>
              <w:pStyle w:val="Compact"/>
            </w:pPr>
            <w:r>
              <w:t xml:space="preserve">☐</w:t>
            </w:r>
          </w:p>
        </w:tc>
        <w:tc>
          <w:tcPr/>
          <w:p>
            <w:pPr>
              <w:pStyle w:val="Compact"/>
            </w:pPr>
            <w:r>
              <w:rPr>
                <w:b/>
                <w:bCs/>
              </w:rPr>
              <w:t xml:space="preserve">MTTR</w:t>
            </w:r>
          </w:p>
        </w:tc>
        <w:tc>
          <w:tcPr/>
          <w:p>
            <w:pPr>
              <w:pStyle w:val="Compact"/>
            </w:pPr>
            <w:r>
              <w:t xml:space="preserve">Temps total de rétablissement / nombre de pannes</w:t>
            </w:r>
          </w:p>
        </w:tc>
        <w:tc>
          <w:tcPr/>
          <w:p>
            <w:pPr>
              <w:pStyle w:val="Compact"/>
            </w:pPr>
            <w:r>
              <w:t xml:space="preserve">Revoir le diagnostic ou l'organisation</w:t>
            </w:r>
          </w:p>
        </w:tc>
        <w:tc>
          <w:tcPr/>
          <w:p>
            <w:pPr>
              <w:pStyle w:val="Compact"/>
            </w:pPr>
            <w:r>
              <w:t xml:space="preserve">GMAO et ordres de travail</w:t>
            </w:r>
          </w:p>
        </w:tc>
        <w:tc>
          <w:tcPr/>
          <w:p>
            <w:pPr>
              <w:pStyle w:val="Compact"/>
            </w:pPr>
            <w:r>
              <w:t xml:space="preserve">Hebdomadaire ou mensuelle</w:t>
            </w:r>
          </w:p>
        </w:tc>
      </w:tr>
      <w:tr>
        <w:tc>
          <w:tcPr/>
          <w:p>
            <w:pPr>
              <w:pStyle w:val="Compact"/>
            </w:pPr>
            <w:r>
              <w:t xml:space="preserve">☐</w:t>
            </w:r>
          </w:p>
        </w:tc>
        <w:tc>
          <w:tcPr/>
          <w:p>
            <w:pPr>
              <w:pStyle w:val="Compact"/>
            </w:pPr>
            <w:r>
              <w:rPr>
                <w:b/>
                <w:bCs/>
              </w:rPr>
              <w:t xml:space="preserve">MTBF</w:t>
            </w:r>
          </w:p>
        </w:tc>
        <w:tc>
          <w:tcPr/>
          <w:p>
            <w:pPr>
              <w:pStyle w:val="Compact"/>
            </w:pPr>
            <w:r>
              <w:t xml:space="preserve">Temps de fonctionnement / nombre de pannes</w:t>
            </w:r>
          </w:p>
        </w:tc>
        <w:tc>
          <w:tcPr/>
          <w:p>
            <w:pPr>
              <w:pStyle w:val="Compact"/>
            </w:pPr>
            <w:r>
              <w:t xml:space="preserve">Traiter les défaillances répétées</w:t>
            </w:r>
          </w:p>
        </w:tc>
        <w:tc>
          <w:tcPr/>
          <w:p>
            <w:pPr>
              <w:pStyle w:val="Compact"/>
            </w:pPr>
            <w:r>
              <w:t xml:space="preserve">Historique des actifs</w:t>
            </w:r>
          </w:p>
        </w:tc>
        <w:tc>
          <w:tcPr/>
          <w:p>
            <w:pPr>
              <w:pStyle w:val="Compact"/>
            </w:pPr>
            <w:r>
              <w:t xml:space="preserve">Mensuelle</w:t>
            </w:r>
          </w:p>
        </w:tc>
      </w:tr>
      <w:tr>
        <w:tc>
          <w:tcPr/>
          <w:p>
            <w:pPr>
              <w:pStyle w:val="Compact"/>
            </w:pPr>
            <w:r>
              <w:t xml:space="preserve">☐</w:t>
            </w:r>
          </w:p>
        </w:tc>
        <w:tc>
          <w:tcPr/>
          <w:p>
            <w:pPr>
              <w:pStyle w:val="Compact"/>
            </w:pPr>
            <w:r>
              <w:rPr>
                <w:b/>
                <w:bCs/>
              </w:rPr>
              <w:t xml:space="preserve">Disponibilité</w:t>
            </w:r>
          </w:p>
        </w:tc>
        <w:tc>
          <w:tcPr/>
          <w:p>
            <w:pPr>
              <w:pStyle w:val="Compact"/>
            </w:pPr>
            <w:r>
              <w:t xml:space="preserve">Temps de fonctionnement / temps requis</w:t>
            </w:r>
          </w:p>
        </w:tc>
        <w:tc>
          <w:tcPr/>
          <w:p>
            <w:pPr>
              <w:pStyle w:val="Compact"/>
            </w:pPr>
            <w:r>
              <w:t xml:space="preserve">Prioriser les installations critiques</w:t>
            </w:r>
          </w:p>
        </w:tc>
        <w:tc>
          <w:tcPr/>
          <w:p>
            <w:pPr>
              <w:pStyle w:val="Compact"/>
            </w:pPr>
            <w:r>
              <w:t xml:space="preserve">GMAO et système technique</w:t>
            </w:r>
          </w:p>
        </w:tc>
        <w:tc>
          <w:tcPr/>
          <w:p>
            <w:pPr>
              <w:pStyle w:val="Compact"/>
            </w:pPr>
            <w:r>
              <w:t xml:space="preserve">Quotidienne et mensuelle</w:t>
            </w:r>
          </w:p>
        </w:tc>
      </w:tr>
      <w:tr>
        <w:tc>
          <w:tcPr/>
          <w:p>
            <w:pPr>
              <w:pStyle w:val="Compact"/>
            </w:pPr>
            <w:r>
              <w:t xml:space="preserve">☐</w:t>
            </w:r>
          </w:p>
        </w:tc>
        <w:tc>
          <w:tcPr/>
          <w:p>
            <w:pPr>
              <w:pStyle w:val="Compact"/>
            </w:pPr>
            <w:r>
              <w:rPr>
                <w:b/>
                <w:bCs/>
              </w:rPr>
              <w:t xml:space="preserve">Temps d'arrêt</w:t>
            </w:r>
          </w:p>
        </w:tc>
        <w:tc>
          <w:tcPr/>
          <w:p>
            <w:pPr>
              <w:pStyle w:val="Compact"/>
            </w:pPr>
            <w:r>
              <w:t xml:space="preserve">Somme des durées d'indisponibilité</w:t>
            </w:r>
          </w:p>
        </w:tc>
        <w:tc>
          <w:tcPr/>
          <w:p>
            <w:pPr>
              <w:pStyle w:val="Compact"/>
            </w:pPr>
            <w:r>
              <w:t xml:space="preserve">Évaluer l'impact sur l'exploitation</w:t>
            </w:r>
          </w:p>
        </w:tc>
        <w:tc>
          <w:tcPr/>
          <w:p>
            <w:pPr>
              <w:pStyle w:val="Compact"/>
            </w:pPr>
            <w:r>
              <w:t xml:space="preserve">Ordres de travail</w:t>
            </w:r>
          </w:p>
        </w:tc>
        <w:tc>
          <w:tcPr/>
          <w:p>
            <w:pPr>
              <w:pStyle w:val="Compact"/>
            </w:pPr>
            <w:r>
              <w:t xml:space="preserve">Quotidienne ou hebdomadaire</w:t>
            </w:r>
          </w:p>
        </w:tc>
      </w:tr>
      <w:tr>
        <w:tc>
          <w:tcPr/>
          <w:p>
            <w:pPr>
              <w:pStyle w:val="Compact"/>
            </w:pPr>
            <w:r>
              <w:t xml:space="preserve">☐</w:t>
            </w:r>
          </w:p>
        </w:tc>
        <w:tc>
          <w:tcPr/>
          <w:p>
            <w:pPr>
              <w:pStyle w:val="Compact"/>
            </w:pPr>
            <w:r>
              <w:rPr>
                <w:b/>
                <w:bCs/>
              </w:rPr>
              <w:t xml:space="preserve">Part préventive</w:t>
            </w:r>
          </w:p>
        </w:tc>
        <w:tc>
          <w:tcPr/>
          <w:p>
            <w:pPr>
              <w:pStyle w:val="Compact"/>
            </w:pPr>
            <w:r>
              <w:t xml:space="preserve">Opérations préventives / total des opérations</w:t>
            </w:r>
          </w:p>
        </w:tc>
        <w:tc>
          <w:tcPr/>
          <w:p>
            <w:pPr>
              <w:pStyle w:val="Compact"/>
            </w:pPr>
            <w:r>
              <w:t xml:space="preserve">Renforcer l'anticipation</w:t>
            </w:r>
          </w:p>
        </w:tc>
        <w:tc>
          <w:tcPr/>
          <w:p>
            <w:pPr>
              <w:pStyle w:val="Compact"/>
            </w:pPr>
            <w:r>
              <w:t xml:space="preserve">GMAO</w:t>
            </w:r>
          </w:p>
        </w:tc>
        <w:tc>
          <w:tcPr/>
          <w:p>
            <w:pPr>
              <w:pStyle w:val="Compact"/>
            </w:pPr>
            <w:r>
              <w:t xml:space="preserve">Mensuelle</w:t>
            </w:r>
          </w:p>
        </w:tc>
      </w:tr>
      <w:tr>
        <w:tc>
          <w:tcPr/>
          <w:p>
            <w:pPr>
              <w:pStyle w:val="Compact"/>
            </w:pPr>
            <w:r>
              <w:t xml:space="preserve">☐</w:t>
            </w:r>
          </w:p>
        </w:tc>
        <w:tc>
          <w:tcPr/>
          <w:p>
            <w:pPr>
              <w:pStyle w:val="Compact"/>
            </w:pPr>
            <w:r>
              <w:rPr>
                <w:b/>
                <w:bCs/>
              </w:rPr>
              <w:t xml:space="preserve">Part réactive</w:t>
            </w:r>
          </w:p>
        </w:tc>
        <w:tc>
          <w:tcPr/>
          <w:p>
            <w:pPr>
              <w:pStyle w:val="Compact"/>
            </w:pPr>
            <w:r>
              <w:t xml:space="preserve">Opérations correctives non planifiées / total</w:t>
            </w:r>
          </w:p>
        </w:tc>
        <w:tc>
          <w:tcPr/>
          <w:p>
            <w:pPr>
              <w:pStyle w:val="Compact"/>
            </w:pPr>
            <w:r>
              <w:t xml:space="preserve">Réduire le réactif</w:t>
            </w:r>
          </w:p>
        </w:tc>
        <w:tc>
          <w:tcPr/>
          <w:p>
            <w:pPr>
              <w:pStyle w:val="Compact"/>
            </w:pPr>
            <w:r>
              <w:t xml:space="preserve">GMAO</w:t>
            </w:r>
          </w:p>
        </w:tc>
        <w:tc>
          <w:tcPr/>
          <w:p>
            <w:pPr>
              <w:pStyle w:val="Compact"/>
            </w:pPr>
            <w:r>
              <w:t xml:space="preserve">Hebdomadaire ou mensuelle</w:t>
            </w:r>
          </w:p>
        </w:tc>
      </w:tr>
      <w:tr>
        <w:tc>
          <w:tcPr/>
          <w:p>
            <w:pPr>
              <w:pStyle w:val="Compact"/>
            </w:pPr>
            <w:r>
              <w:t xml:space="preserve">☐</w:t>
            </w:r>
          </w:p>
        </w:tc>
        <w:tc>
          <w:tcPr/>
          <w:p>
            <w:pPr>
              <w:pStyle w:val="Compact"/>
            </w:pPr>
            <w:r>
              <w:rPr>
                <w:b/>
                <w:bCs/>
              </w:rPr>
              <w:t xml:space="preserve">Respect du planning</w:t>
            </w:r>
          </w:p>
        </w:tc>
        <w:tc>
          <w:tcPr/>
          <w:p>
            <w:pPr>
              <w:pStyle w:val="Compact"/>
            </w:pPr>
            <w:r>
              <w:t xml:space="preserve">Tâches réalisées comme prévu / tâches planifiées</w:t>
            </w:r>
          </w:p>
        </w:tc>
        <w:tc>
          <w:tcPr/>
          <w:p>
            <w:pPr>
              <w:pStyle w:val="Compact"/>
            </w:pPr>
            <w:r>
              <w:t xml:space="preserve">Ajuster le programme ou la charge</w:t>
            </w:r>
          </w:p>
        </w:tc>
        <w:tc>
          <w:tcPr/>
          <w:p>
            <w:pPr>
              <w:pStyle w:val="Compact"/>
            </w:pPr>
            <w:r>
              <w:t xml:space="preserve">Planning et GMAO</w:t>
            </w:r>
          </w:p>
        </w:tc>
        <w:tc>
          <w:tcPr/>
          <w:p>
            <w:pPr>
              <w:pStyle w:val="Compact"/>
            </w:pPr>
            <w:r>
              <w:t xml:space="preserve">Hebdomadaire</w:t>
            </w:r>
          </w:p>
        </w:tc>
      </w:tr>
      <w:tr>
        <w:tc>
          <w:tcPr/>
          <w:p>
            <w:pPr>
              <w:pStyle w:val="Compact"/>
            </w:pPr>
            <w:r>
              <w:t xml:space="preserve">☐</w:t>
            </w:r>
          </w:p>
        </w:tc>
        <w:tc>
          <w:tcPr/>
          <w:p>
            <w:pPr>
              <w:pStyle w:val="Compact"/>
            </w:pPr>
            <w:r>
              <w:rPr>
                <w:b/>
                <w:bCs/>
              </w:rPr>
              <w:t xml:space="preserve">Charge en attente</w:t>
            </w:r>
          </w:p>
        </w:tc>
        <w:tc>
          <w:tcPr/>
          <w:p>
            <w:pPr>
              <w:pStyle w:val="Compact"/>
            </w:pPr>
            <w:r>
              <w:t xml:space="preserve">Somme des heures estimées des ordres ouverts</w:t>
            </w:r>
          </w:p>
        </w:tc>
        <w:tc>
          <w:tcPr/>
          <w:p>
            <w:pPr>
              <w:pStyle w:val="Compact"/>
            </w:pPr>
            <w:r>
              <w:t xml:space="preserve">Réallouer les ressources</w:t>
            </w:r>
          </w:p>
        </w:tc>
        <w:tc>
          <w:tcPr/>
          <w:p>
            <w:pPr>
              <w:pStyle w:val="Compact"/>
            </w:pPr>
            <w:r>
              <w:t xml:space="preserve">GMAO</w:t>
            </w:r>
          </w:p>
        </w:tc>
        <w:tc>
          <w:tcPr/>
          <w:p>
            <w:pPr>
              <w:pStyle w:val="Compact"/>
            </w:pPr>
            <w:r>
              <w:t xml:space="preserve">Hebdomadaire</w:t>
            </w:r>
          </w:p>
        </w:tc>
      </w:tr>
      <w:tr>
        <w:tc>
          <w:tcPr/>
          <w:p>
            <w:pPr>
              <w:pStyle w:val="Compact"/>
            </w:pPr>
            <w:r>
              <w:t xml:space="preserve">☐</w:t>
            </w:r>
          </w:p>
        </w:tc>
        <w:tc>
          <w:tcPr/>
          <w:p>
            <w:pPr>
              <w:pStyle w:val="Compact"/>
            </w:pPr>
            <w:r>
              <w:rPr>
                <w:b/>
                <w:bCs/>
              </w:rPr>
              <w:t xml:space="preserve">Productivité</w:t>
            </w:r>
          </w:p>
        </w:tc>
        <w:tc>
          <w:tcPr/>
          <w:p>
            <w:pPr>
              <w:pStyle w:val="Compact"/>
            </w:pPr>
            <w:r>
              <w:t xml:space="preserve">Ordres clôturés / heures techniciens disponibles</w:t>
            </w:r>
          </w:p>
        </w:tc>
        <w:tc>
          <w:tcPr/>
          <w:p>
            <w:pPr>
              <w:pStyle w:val="Compact"/>
            </w:pPr>
            <w:r>
              <w:t xml:space="preserve">Adapter la capacité</w:t>
            </w:r>
          </w:p>
        </w:tc>
        <w:tc>
          <w:tcPr/>
          <w:p>
            <w:pPr>
              <w:pStyle w:val="Compact"/>
            </w:pPr>
            <w:r>
              <w:t xml:space="preserve">GMAO et relevés de temps</w:t>
            </w:r>
          </w:p>
        </w:tc>
        <w:tc>
          <w:tcPr/>
          <w:p>
            <w:pPr>
              <w:pStyle w:val="Compact"/>
            </w:pPr>
            <w:r>
              <w:t xml:space="preserve">Hebdomadaire ou mensuelle</w:t>
            </w:r>
          </w:p>
        </w:tc>
      </w:tr>
      <w:tr>
        <w:tc>
          <w:tcPr/>
          <w:p>
            <w:pPr>
              <w:pStyle w:val="Compact"/>
            </w:pPr>
            <w:r>
              <w:t xml:space="preserve">☐</w:t>
            </w:r>
          </w:p>
        </w:tc>
        <w:tc>
          <w:tcPr/>
          <w:p>
            <w:pPr>
              <w:pStyle w:val="Compact"/>
            </w:pPr>
            <w:r>
              <w:rPr>
                <w:b/>
                <w:bCs/>
              </w:rPr>
              <w:t xml:space="preserve">Délais et SLA</w:t>
            </w:r>
          </w:p>
        </w:tc>
        <w:tc>
          <w:tcPr/>
          <w:p>
            <w:pPr>
              <w:pStyle w:val="Compact"/>
            </w:pPr>
            <w:r>
              <w:t xml:space="preserve">Délai constaté et taux de respect des engagements</w:t>
            </w:r>
          </w:p>
        </w:tc>
        <w:tc>
          <w:tcPr/>
          <w:p>
            <w:pPr>
              <w:pStyle w:val="Compact"/>
            </w:pPr>
            <w:r>
              <w:t xml:space="preserve">Corriger l'affectation ou l'escalade</w:t>
            </w:r>
          </w:p>
        </w:tc>
        <w:tc>
          <w:tcPr/>
          <w:p>
            <w:pPr>
              <w:pStyle w:val="Compact"/>
            </w:pPr>
            <w:r>
              <w:t xml:space="preserve">Horodatage des demandes</w:t>
            </w:r>
          </w:p>
        </w:tc>
        <w:tc>
          <w:tcPr/>
          <w:p>
            <w:pPr>
              <w:pStyle w:val="Compact"/>
            </w:pPr>
            <w:r>
              <w:t xml:space="preserve">Selon le cycle de pilotage</w:t>
            </w:r>
          </w:p>
        </w:tc>
      </w:tr>
      <w:tr>
        <w:tc>
          <w:tcPr/>
          <w:p>
            <w:pPr>
              <w:pStyle w:val="Compact"/>
            </w:pPr>
            <w:r>
              <w:t xml:space="preserve">☐</w:t>
            </w:r>
          </w:p>
        </w:tc>
        <w:tc>
          <w:tcPr/>
          <w:p>
            <w:pPr>
              <w:pStyle w:val="Compact"/>
            </w:pPr>
            <w:r>
              <w:rPr>
                <w:b/>
                <w:bCs/>
              </w:rPr>
              <w:t xml:space="preserve">Coût et valeur de remplacement</w:t>
            </w:r>
          </w:p>
        </w:tc>
        <w:tc>
          <w:tcPr/>
          <w:p>
            <w:pPr>
              <w:pStyle w:val="Compact"/>
            </w:pPr>
            <w:r>
              <w:t xml:space="preserve">Dépenses de maintenance / valeur de remplacement</w:t>
            </w:r>
          </w:p>
        </w:tc>
        <w:tc>
          <w:tcPr/>
          <w:p>
            <w:pPr>
              <w:pStyle w:val="Compact"/>
            </w:pPr>
            <w:r>
              <w:t xml:space="preserve">Arbitrer réparation et renouvellement</w:t>
            </w:r>
          </w:p>
        </w:tc>
        <w:tc>
          <w:tcPr/>
          <w:p>
            <w:pPr>
              <w:pStyle w:val="Compact"/>
            </w:pPr>
            <w:r>
              <w:t xml:space="preserve">GMAO et gestion financière</w:t>
            </w:r>
          </w:p>
        </w:tc>
        <w:tc>
          <w:tcPr/>
          <w:p>
            <w:pPr>
              <w:pStyle w:val="Compact"/>
            </w:pPr>
            <w:r>
              <w:t xml:space="preserve">Mensuelle</w:t>
            </w:r>
          </w:p>
        </w:tc>
      </w:tr>
      <w:tr>
        <w:tc>
          <w:tcPr/>
          <w:p>
            <w:pPr>
              <w:pStyle w:val="Compact"/>
            </w:pPr>
            <w:r>
              <w:t xml:space="preserve">☐</w:t>
            </w:r>
          </w:p>
        </w:tc>
        <w:tc>
          <w:tcPr/>
          <w:p>
            <w:pPr>
              <w:pStyle w:val="Compact"/>
            </w:pPr>
            <w:r>
              <w:rPr>
                <w:b/>
                <w:bCs/>
              </w:rPr>
              <w:t xml:space="preserve">TRS</w:t>
            </w:r>
          </w:p>
        </w:tc>
        <w:tc>
          <w:tcPr/>
          <w:p>
            <w:pPr>
              <w:pStyle w:val="Compact"/>
            </w:pPr>
            <w:r>
              <w:t xml:space="preserve">Disponibilité × performance × qualité</w:t>
            </w:r>
          </w:p>
        </w:tc>
        <w:tc>
          <w:tcPr/>
          <w:p>
            <w:pPr>
              <w:pStyle w:val="Compact"/>
            </w:pPr>
            <w:r>
              <w:t xml:space="preserve">Analyser la production lorsque pertinent</w:t>
            </w:r>
          </w:p>
        </w:tc>
        <w:tc>
          <w:tcPr/>
          <w:p>
            <w:pPr>
              <w:pStyle w:val="Compact"/>
            </w:pPr>
            <w:r>
              <w:t xml:space="preserve">Système de production</w:t>
            </w:r>
          </w:p>
        </w:tc>
        <w:tc>
          <w:tcPr/>
          <w:p>
            <w:pPr>
              <w:pStyle w:val="Compact"/>
            </w:pPr>
            <w:r>
              <w:t xml:space="preserve">Selon l'activité</w:t>
            </w:r>
          </w:p>
        </w:tc>
      </w:tr>
    </w:tbl>
    <w:p>
      <w:pPr>
        <w:pStyle w:val="BodyText"/>
      </w:pPr>
      <w:r>
        <w:t xml:space="preserve">Disponibilité intrinsèque = MTBF / (MTBF + MTTR). TRS : taux de rendement synthétique (OEE) ; dans un parc tertiaire, il peut être écarté au profit des délais et des vérifications réglementaires.</w:t>
      </w:r>
    </w:p>
    <w:bookmarkEnd w:id="11"/>
    <w:bookmarkStart w:id="12" w:name="paramétrage-de-chaque-kpi-retenu"/>
    <w:p>
      <w:pPr>
        <w:pStyle w:val="Heading2"/>
      </w:pPr>
      <w:r>
        <w:t xml:space="preserve">3</w:t>
      </w:r>
      <w:r>
        <w:t xml:space="preserve"> </w:t>
      </w:r>
      <w:r>
        <w:t xml:space="preserve">Paramétrage de chaque KPI retenu</w:t>
      </w:r>
    </w:p>
    <w:p>
      <w:pPr>
        <w:pStyle w:val="FirstParagraph"/>
      </w:pPr>
      <w:r>
        <w:t xml:space="preserve">Un KPI doit être associé à un objectif, une formule, une source, une fréquence de suivi, un propriétaire et une décision associée. Complétez une ligne par indicateur retenu.</w:t>
      </w:r>
    </w:p>
    <w:tbl>
      <w:tblPr>
        <w:tblStyle w:val="Table"/>
        <w:tblW w:type="pct" w:w="5000"/>
        <w:tblLayout w:type="fixed"/>
        <w:tblLook w:firstRow="1" w:lastRow="0" w:firstColumn="0" w:lastColumn="0" w:noHBand="0" w:noVBand="0" w:val="0020"/>
      </w:tblPr>
      <w:tblGrid>
        <w:gridCol w:w="1346"/>
        <w:gridCol w:w="1346"/>
        <w:gridCol w:w="1742"/>
        <w:gridCol w:w="2059"/>
        <w:gridCol w:w="1425"/>
      </w:tblGrid>
      <w:tr>
        <w:trPr>
          <w:tblHeader w:val="on"/>
        </w:trPr>
        <w:tc>
          <w:tcPr/>
          <w:p>
            <w:pPr>
              <w:pStyle w:val="Compact"/>
            </w:pPr>
            <w:r>
              <w:t xml:space="preserve">KPI</w:t>
            </w:r>
          </w:p>
        </w:tc>
        <w:tc>
          <w:tcPr/>
          <w:p>
            <w:pPr>
              <w:pStyle w:val="Compact"/>
            </w:pPr>
            <w:r>
              <w:t xml:space="preserve">Propriétaire</w:t>
            </w:r>
          </w:p>
        </w:tc>
        <w:tc>
          <w:tcPr/>
          <w:p>
            <w:pPr>
              <w:pStyle w:val="Compact"/>
            </w:pPr>
            <w:r>
              <w:t xml:space="preserve">Périmètre (sites, actifs)</w:t>
            </w:r>
          </w:p>
        </w:tc>
        <w:tc>
          <w:tcPr/>
          <w:p>
            <w:pPr>
              <w:pStyle w:val="Compact"/>
            </w:pPr>
            <w:r>
              <w:t xml:space="preserve">Règles d'exclusion</w:t>
            </w:r>
          </w:p>
        </w:tc>
        <w:tc>
          <w:tcPr/>
          <w:p>
            <w:pPr>
              <w:pStyle w:val="Compact"/>
            </w:pPr>
            <w:r>
              <w:t xml:space="preserve">Cible et échéance</w:t>
            </w:r>
          </w:p>
        </w:tc>
      </w:tr>
      <w:tr>
        <w:tc>
          <w:tcPr/>
          <w:p>
            <w:pPr>
              <w:pStyle w:val="Compact"/>
            </w:pPr>
            <w:r>
              <w:rPr>
                <w:b/>
                <w:bCs/>
              </w:rPr>
              <w:t xml:space="preserve">MTTR</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MTBF</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Disponibilité</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Temps d'arrêt</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Part préventive</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Part réactive</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Respect du planning</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Charge en attente</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Productivité</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Délais et SLA</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Coût et valeur de remplacement</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TRS</w:t>
            </w:r>
          </w:p>
        </w:tc>
        <w:tc>
          <w:tcPr/>
          <w:p>
            <w:pPr>
              <w:pStyle w:val="Compact"/>
            </w:pPr>
            <w:r>
              <w:t xml:space="preserve"> </w:t>
            </w:r>
          </w:p>
        </w:tc>
        <w:tc>
          <w:tcPr/>
          <w:p>
            <w:pPr>
              <w:pStyle w:val="Compact"/>
            </w:pPr>
            <w:r>
              <w:t xml:space="preserve"> </w:t>
            </w:r>
          </w:p>
        </w:tc>
        <w:tc>
          <w:tcPr/>
          <w:p>
            <w:pPr>
              <w:pStyle w:val="Compact"/>
            </w:pPr>
            <w:r>
              <w:t xml:space="preserve"> </w:t>
            </w:r>
          </w:p>
        </w:tc>
        <w:tc>
          <w:tcPr/>
          <w:p>
            <w:pPr>
              <w:pStyle w:val="Compact"/>
            </w:pPr>
            <w:r>
              <w:t xml:space="preserve"> </w:t>
            </w:r>
          </w:p>
        </w:tc>
      </w:tr>
    </w:tbl>
    <w:bookmarkEnd w:id="12"/>
    <w:bookmarkStart w:id="13" w:name="conventions-communes-de-calcul"/>
    <w:p>
      <w:pPr>
        <w:pStyle w:val="Heading2"/>
      </w:pPr>
      <w:r>
        <w:t xml:space="preserve">4</w:t>
      </w:r>
      <w:r>
        <w:t xml:space="preserve"> </w:t>
      </w:r>
      <w:r>
        <w:t xml:space="preserve">Conventions communes de calcul</w:t>
      </w:r>
    </w:p>
    <w:p>
      <w:pPr>
        <w:pStyle w:val="FirstParagraph"/>
      </w:pPr>
      <w:r>
        <w:t xml:space="preserve">La formule ne suffit pas à rendre un indicateur fiable : la qualité des données dépend des conventions appliquées dans chaque bâtiment. Consignez la règle retenue pour chacune des cinq étapes.</w:t>
      </w:r>
    </w:p>
    <w:tbl>
      <w:tblPr>
        <w:tblStyle w:val="Table"/>
        <w:tblW w:type="pct" w:w="5000"/>
        <w:tblLayout w:type="fixed"/>
        <w:tblLook w:firstRow="1" w:lastRow="0" w:firstColumn="0" w:lastColumn="0" w:noHBand="0" w:noVBand="0" w:val="0020"/>
      </w:tblPr>
      <w:tblGrid>
        <w:gridCol w:w="3326"/>
        <w:gridCol w:w="4593"/>
      </w:tblGrid>
      <w:tr>
        <w:trPr>
          <w:tblHeader w:val="on"/>
        </w:trPr>
        <w:tc>
          <w:tcPr/>
          <w:p>
            <w:pPr>
              <w:pStyle w:val="Compact"/>
            </w:pPr>
            <w:r>
              <w:t xml:space="preserve">Étape</w:t>
            </w:r>
          </w:p>
        </w:tc>
        <w:tc>
          <w:tcPr/>
          <w:p>
            <w:pPr>
              <w:pStyle w:val="Compact"/>
            </w:pPr>
            <w:r>
              <w:t xml:space="preserve">Convention retenue</w:t>
            </w:r>
          </w:p>
        </w:tc>
      </w:tr>
      <w:tr>
        <w:tc>
          <w:tcPr/>
          <w:p>
            <w:pPr>
              <w:pStyle w:val="Compact"/>
            </w:pPr>
            <w:r>
              <w:rPr>
                <w:b/>
                <w:bCs/>
              </w:rPr>
              <w:t xml:space="preserve">1.</w:t>
            </w:r>
            <w:r>
              <w:t xml:space="preserve"> </w:t>
            </w:r>
            <w:r>
              <w:t xml:space="preserve">Sites, actifs et équipements inclus</w:t>
            </w:r>
          </w:p>
        </w:tc>
        <w:tc>
          <w:tcPr/>
          <w:p>
            <w:pPr>
              <w:pStyle w:val="Compact"/>
            </w:pPr>
            <w:r>
              <w:t xml:space="preserve"> </w:t>
            </w:r>
          </w:p>
        </w:tc>
      </w:tr>
      <w:tr>
        <w:tc>
          <w:tcPr/>
          <w:p>
            <w:pPr>
              <w:pStyle w:val="Compact"/>
            </w:pPr>
            <w:r>
              <w:rPr>
                <w:b/>
                <w:bCs/>
              </w:rPr>
              <w:t xml:space="preserve">2.</w:t>
            </w:r>
            <w:r>
              <w:t xml:space="preserve"> </w:t>
            </w:r>
            <w:r>
              <w:t xml:space="preserve">Événements retenus comme défaillances, arrêts ou opérations préventives</w:t>
            </w:r>
          </w:p>
        </w:tc>
        <w:tc>
          <w:tcPr/>
          <w:p>
            <w:pPr>
              <w:pStyle w:val="Compact"/>
            </w:pPr>
            <w:r>
              <w:t xml:space="preserve"> </w:t>
            </w:r>
          </w:p>
        </w:tc>
      </w:tr>
      <w:tr>
        <w:tc>
          <w:tcPr/>
          <w:p>
            <w:pPr>
              <w:pStyle w:val="Compact"/>
            </w:pPr>
            <w:r>
              <w:rPr>
                <w:b/>
                <w:bCs/>
              </w:rPr>
              <w:t xml:space="preserve">3.</w:t>
            </w:r>
            <w:r>
              <w:t xml:space="preserve"> </w:t>
            </w:r>
            <w:r>
              <w:t xml:space="preserve">Distinction entre temps technique et temps d'arrêt subi par l'exploitation</w:t>
            </w:r>
          </w:p>
        </w:tc>
        <w:tc>
          <w:tcPr/>
          <w:p>
            <w:pPr>
              <w:pStyle w:val="Compact"/>
            </w:pPr>
            <w:r>
              <w:t xml:space="preserve"> </w:t>
            </w:r>
          </w:p>
        </w:tc>
      </w:tr>
      <w:tr>
        <w:tc>
          <w:tcPr/>
          <w:p>
            <w:pPr>
              <w:pStyle w:val="Compact"/>
            </w:pPr>
            <w:r>
              <w:rPr>
                <w:b/>
                <w:bCs/>
              </w:rPr>
              <w:t xml:space="preserve">4.</w:t>
            </w:r>
            <w:r>
              <w:t xml:space="preserve"> </w:t>
            </w:r>
            <w:r>
              <w:t xml:space="preserve">Règles de création, de mise en attente et de clôture des ordres</w:t>
            </w:r>
          </w:p>
        </w:tc>
        <w:tc>
          <w:tcPr/>
          <w:p>
            <w:pPr>
              <w:pStyle w:val="Compact"/>
            </w:pPr>
            <w:r>
              <w:t xml:space="preserve"> </w:t>
            </w:r>
          </w:p>
        </w:tc>
      </w:tr>
      <w:tr>
        <w:tc>
          <w:tcPr/>
          <w:p>
            <w:pPr>
              <w:pStyle w:val="Compact"/>
            </w:pPr>
            <w:r>
              <w:rPr>
                <w:b/>
                <w:bCs/>
              </w:rPr>
              <w:t xml:space="preserve">5.</w:t>
            </w:r>
            <w:r>
              <w:t xml:space="preserve"> </w:t>
            </w:r>
            <w:r>
              <w:t xml:space="preserve">Unités et exclusions harmonisées avant la consolidation multi-sites</w:t>
            </w:r>
          </w:p>
        </w:tc>
        <w:tc>
          <w:tcPr/>
          <w:p>
            <w:pPr>
              <w:pStyle w:val="Compact"/>
            </w:pPr>
            <w:r>
              <w:t xml:space="preserve"> </w:t>
            </w:r>
          </w:p>
        </w:tc>
      </w:tr>
    </w:tbl>
    <w:p/>
    <w:tbl>
      <w:tblPr>
        <w:tblStyle w:val="Table"/>
        <w:tblW w:type="pct" w:w="5000"/>
        <w:tblLayout w:type="fixed"/>
        <w:tblLook w:firstRow="1" w:lastRow="0" w:firstColumn="0" w:lastColumn="0" w:noHBand="0" w:noVBand="0" w:val="0020"/>
      </w:tblPr>
      <w:tblGrid>
        <w:gridCol w:w="1742"/>
        <w:gridCol w:w="6177"/>
      </w:tblGrid>
      <w:tr>
        <w:trPr>
          <w:tblHeader w:val="on"/>
        </w:trPr>
        <w:tc>
          <w:tcPr>
            <w:gridSpan w:val="2"/>
          </w:tcPr>
          <w:p>
            <w:pPr>
              <w:pStyle w:val="Compact"/>
            </w:pPr>
            <w:r>
              <w:t xml:space="preserve">Choix de calcul à arbitrer</w:t>
            </w:r>
          </w:p>
        </w:tc>
      </w:tr>
      <w:tr>
        <w:tc>
          <w:tcPr/>
          <w:p>
            <w:pPr>
              <w:pStyle w:val="Compact"/>
            </w:pPr>
            <w:r>
              <w:rPr>
                <w:b/>
                <w:bCs/>
              </w:rPr>
              <w:t xml:space="preserve">Durée du MTTR</w:t>
            </w:r>
          </w:p>
        </w:tc>
        <w:tc>
          <w:tcPr/>
          <w:p>
            <w:pPr>
              <w:pStyle w:val="Compact"/>
            </w:pPr>
            <w:r>
              <w:t xml:space="preserve">☐ Réparation seule    ☐ Ensemble du délai de rétablissement</w:t>
            </w:r>
          </w:p>
        </w:tc>
      </w:tr>
      <w:tr>
        <w:tc>
          <w:tcPr/>
          <w:p>
            <w:pPr>
              <w:pStyle w:val="Compact"/>
            </w:pPr>
            <w:r>
              <w:rPr>
                <w:b/>
                <w:bCs/>
              </w:rPr>
              <w:t xml:space="preserve">Temps de fonctionnement (MTBF)</w:t>
            </w:r>
          </w:p>
        </w:tc>
        <w:tc>
          <w:tcPr/>
          <w:p>
            <w:pPr>
              <w:pStyle w:val="Compact"/>
            </w:pPr>
            <w:r>
              <w:t xml:space="preserve">Convention identique pour tous les sites :</w:t>
            </w:r>
          </w:p>
        </w:tc>
      </w:tr>
      <w:tr>
        <w:tc>
          <w:tcPr/>
          <w:p>
            <w:pPr>
              <w:pStyle w:val="Compact"/>
            </w:pPr>
            <w:r>
              <w:rPr>
                <w:b/>
                <w:bCs/>
              </w:rPr>
              <w:t xml:space="preserve">Temps requis (disponibilité)</w:t>
            </w:r>
          </w:p>
        </w:tc>
        <w:tc>
          <w:tcPr/>
          <w:p>
            <w:pPr>
              <w:pStyle w:val="Compact"/>
            </w:pPr>
            <w:r>
              <w:t xml:space="preserve">Horaires d'exploitation retenus :</w:t>
            </w:r>
          </w:p>
        </w:tc>
      </w:tr>
      <w:tr>
        <w:tc>
          <w:tcPr/>
          <w:p>
            <w:pPr>
              <w:pStyle w:val="Compact"/>
            </w:pPr>
            <w:r>
              <w:rPr>
                <w:b/>
                <w:bCs/>
              </w:rPr>
              <w:t xml:space="preserve">Coûts</w:t>
            </w:r>
          </w:p>
        </w:tc>
        <w:tc>
          <w:tcPr/>
          <w:p>
            <w:pPr>
              <w:pStyle w:val="Compact"/>
            </w:pPr>
            <w:r>
              <w:t xml:space="preserve">Dépenses incluses : ☐ Main-d'œuvre interne   ☐ Prestataires   ☐ Pièces   ☐ Autre : ________</w:t>
            </w:r>
          </w:p>
        </w:tc>
      </w:tr>
    </w:tbl>
    <w:bookmarkEnd w:id="13"/>
    <w:bookmarkStart w:id="14" w:name="données-gmao-et-contrôles-de-qualité"/>
    <w:p>
      <w:pPr>
        <w:pStyle w:val="Heading2"/>
      </w:pPr>
      <w:r>
        <w:t xml:space="preserve">5</w:t>
      </w:r>
      <w:r>
        <w:t xml:space="preserve"> </w:t>
      </w:r>
      <w:r>
        <w:t xml:space="preserve">Données GMAO et contrôles de qualité</w:t>
      </w:r>
    </w:p>
    <w:p>
      <w:pPr>
        <w:pStyle w:val="FirstParagraph"/>
      </w:pPr>
      <w:r>
        <w:t xml:space="preserve">La GMAO centralise les données historiques nécessaires au calcul. Cochez les champs effectivement renseignés sur chaque ordre de travail.</w:t>
      </w:r>
    </w:p>
    <w:p>
      <w:pPr>
        <w:pStyle w:val="Compact"/>
        <w:numPr>
          <w:ilvl w:val="0"/>
          <w:numId w:val="1002"/>
        </w:numPr>
      </w:pPr>
      <w:r>
        <w:t xml:space="preserve">Le site, l'équipement et la famille technique.</w:t>
      </w:r>
    </w:p>
    <w:p>
      <w:pPr>
        <w:pStyle w:val="Compact"/>
        <w:numPr>
          <w:ilvl w:val="0"/>
          <w:numId w:val="1002"/>
        </w:numPr>
      </w:pPr>
      <w:r>
        <w:t xml:space="preserve">Le niveau de criticité.</w:t>
      </w:r>
    </w:p>
    <w:p>
      <w:pPr>
        <w:pStyle w:val="Compact"/>
        <w:numPr>
          <w:ilvl w:val="0"/>
          <w:numId w:val="1002"/>
        </w:numPr>
      </w:pPr>
      <w:r>
        <w:t xml:space="preserve">Les dates et heures de signalement, d'affectation et de rétablissement.</w:t>
      </w:r>
    </w:p>
    <w:p>
      <w:pPr>
        <w:pStyle w:val="Compact"/>
        <w:numPr>
          <w:ilvl w:val="0"/>
          <w:numId w:val="1002"/>
        </w:numPr>
      </w:pPr>
      <w:r>
        <w:t xml:space="preserve">Le type d'opération et la cause identifiée.</w:t>
      </w:r>
    </w:p>
    <w:p>
      <w:pPr>
        <w:pStyle w:val="Compact"/>
        <w:numPr>
          <w:ilvl w:val="0"/>
          <w:numId w:val="1002"/>
        </w:numPr>
      </w:pPr>
      <w:r>
        <w:t xml:space="preserve">Les durées d'arrêt et de traitement.</w:t>
      </w:r>
    </w:p>
    <w:p>
      <w:pPr>
        <w:pStyle w:val="Compact"/>
        <w:numPr>
          <w:ilvl w:val="0"/>
          <w:numId w:val="1002"/>
        </w:numPr>
      </w:pPr>
      <w:r>
        <w:t xml:space="preserve">Les effectifs ou ressources mobilisés.</w:t>
      </w:r>
    </w:p>
    <w:p>
      <w:pPr>
        <w:pStyle w:val="Compact"/>
        <w:numPr>
          <w:ilvl w:val="0"/>
          <w:numId w:val="1002"/>
        </w:numPr>
      </w:pPr>
      <w:r>
        <w:t xml:space="preserve">Le statut final et le compte rendu.</w:t>
      </w:r>
    </w:p>
    <w:p>
      <w:pPr>
        <w:pStyle w:val="FirstParagraph"/>
      </w:pPr>
      <w:r>
        <w:rPr>
          <w:b/>
          <w:bCs/>
        </w:rPr>
        <w:t xml:space="preserve">Contrôles à réaliser avant chaque revue</w:t>
      </w:r>
      <w:r>
        <w:t xml:space="preserve"> </w:t>
      </w:r>
      <w:r>
        <w:t xml:space="preserve">:</w:t>
      </w:r>
    </w:p>
    <w:p>
      <w:pPr>
        <w:pStyle w:val="Compact"/>
        <w:numPr>
          <w:ilvl w:val="0"/>
          <w:numId w:val="1003"/>
        </w:numPr>
      </w:pPr>
      <w:r>
        <w:t xml:space="preserve">Durées incohérentes (rétablissement antérieur au signalement, durées nulles ou anormalement longues).</w:t>
      </w:r>
    </w:p>
    <w:p>
      <w:pPr>
        <w:pStyle w:val="Compact"/>
        <w:numPr>
          <w:ilvl w:val="0"/>
          <w:numId w:val="1003"/>
        </w:numPr>
      </w:pPr>
      <w:r>
        <w:t xml:space="preserve">Champs absents sur les ordres clôturés.</w:t>
      </w:r>
    </w:p>
    <w:p>
      <w:pPr>
        <w:pStyle w:val="Compact"/>
        <w:numPr>
          <w:ilvl w:val="0"/>
          <w:numId w:val="1003"/>
        </w:numPr>
      </w:pPr>
      <w:r>
        <w:t xml:space="preserve">Clôtures administratives sans justification : elles peuvent améliorer artificiellement le respect du planning ou réduire la charge affichée.</w:t>
      </w:r>
    </w:p>
    <w:bookmarkEnd w:id="14"/>
    <w:bookmarkStart w:id="15" w:name="objectifs-mesurables-smart"/>
    <w:p>
      <w:pPr>
        <w:pStyle w:val="Heading2"/>
      </w:pPr>
      <w:r>
        <w:t xml:space="preserve">6</w:t>
      </w:r>
      <w:r>
        <w:t xml:space="preserve"> </w:t>
      </w:r>
      <w:r>
        <w:t xml:space="preserve">Objectifs mesurables (SMART)</w:t>
      </w:r>
    </w:p>
    <w:p>
      <w:pPr>
        <w:pStyle w:val="FirstParagraph"/>
      </w:pPr>
      <w:r>
        <w:t xml:space="preserve">Un objectif SMART est spécifique, mesurable, atteignable, pertinent et défini dans le temps. Il n'impose pas une cible identique à tous les sites : les cibles peuvent être établies par comparaison interne entre des bâtiments aux usages et périmètres comparables. Une fiche par objectif.</w:t>
      </w:r>
    </w:p>
    <w:tbl>
      <w:tblPr>
        <w:tblStyle w:val="Table"/>
        <w:tblW w:type="pct" w:w="5000"/>
        <w:tblLayout w:type="fixed"/>
        <w:tblLook w:firstRow="1" w:lastRow="0" w:firstColumn="0" w:lastColumn="0" w:noHBand="0" w:noVBand="0" w:val="0020"/>
      </w:tblPr>
      <w:tblGrid>
        <w:gridCol w:w="2376"/>
        <w:gridCol w:w="5544"/>
      </w:tblGrid>
      <w:tr>
        <w:trPr>
          <w:tblHeader w:val="on"/>
        </w:trPr>
        <w:tc>
          <w:tcPr>
            <w:gridSpan w:val="2"/>
          </w:tcPr>
          <w:p>
            <w:pPr>
              <w:pStyle w:val="Compact"/>
            </w:pPr>
            <w:r>
              <w:t xml:space="preserve">Fiche objectif n° ____</w:t>
            </w:r>
          </w:p>
        </w:tc>
      </w:tr>
      <w:tr>
        <w:tc>
          <w:tcPr/>
          <w:p>
            <w:pPr>
              <w:pStyle w:val="Compact"/>
            </w:pPr>
            <w:r>
              <w:rPr>
                <w:b/>
                <w:bCs/>
              </w:rPr>
              <w:t xml:space="preserve">Performance attendue</w:t>
            </w:r>
          </w:p>
        </w:tc>
        <w:tc>
          <w:tcPr/>
          <w:p>
            <w:pPr>
              <w:pStyle w:val="Compact"/>
            </w:pPr>
            <w:r>
              <w:t xml:space="preserve"> </w:t>
            </w:r>
          </w:p>
        </w:tc>
      </w:tr>
      <w:tr>
        <w:tc>
          <w:tcPr/>
          <w:p>
            <w:pPr>
              <w:pStyle w:val="Compact"/>
            </w:pPr>
            <w:r>
              <w:rPr>
                <w:b/>
                <w:bCs/>
              </w:rPr>
              <w:t xml:space="preserve">KPI retenu</w:t>
            </w:r>
          </w:p>
        </w:tc>
        <w:tc>
          <w:tcPr/>
          <w:p>
            <w:pPr>
              <w:pStyle w:val="Compact"/>
            </w:pPr>
            <w:r>
              <w:t xml:space="preserve"> </w:t>
            </w:r>
          </w:p>
        </w:tc>
      </w:tr>
      <w:tr>
        <w:tc>
          <w:tcPr/>
          <w:p>
            <w:pPr>
              <w:pStyle w:val="Compact"/>
            </w:pPr>
            <w:r>
              <w:rPr>
                <w:b/>
                <w:bCs/>
              </w:rPr>
              <w:t xml:space="preserve">Type d'indicateur</w:t>
            </w:r>
          </w:p>
        </w:tc>
        <w:tc>
          <w:tcPr/>
          <w:p>
            <w:pPr>
              <w:pStyle w:val="Compact"/>
            </w:pPr>
            <w:r>
              <w:t xml:space="preserve">☐ Résultat (indisponibilité, dépenses)    ☐ Anticipation (préventif, respect du programme, charge en attente)</w:t>
            </w:r>
          </w:p>
        </w:tc>
      </w:tr>
      <w:tr>
        <w:tc>
          <w:tcPr/>
          <w:p>
            <w:pPr>
              <w:pStyle w:val="Compact"/>
            </w:pPr>
            <w:r>
              <w:rPr>
                <w:b/>
                <w:bCs/>
              </w:rPr>
              <w:t xml:space="preserve">Périmètre et source</w:t>
            </w:r>
          </w:p>
        </w:tc>
        <w:tc>
          <w:tcPr/>
          <w:p>
            <w:pPr>
              <w:pStyle w:val="Compact"/>
            </w:pPr>
            <w:r>
              <w:t xml:space="preserve"> </w:t>
            </w:r>
          </w:p>
        </w:tc>
      </w:tr>
      <w:tr>
        <w:tc>
          <w:tcPr/>
          <w:p>
            <w:pPr>
              <w:pStyle w:val="Compact"/>
            </w:pPr>
            <w:r>
              <w:rPr>
                <w:b/>
                <w:bCs/>
              </w:rPr>
              <w:t xml:space="preserve">Valeur de départ et cible</w:t>
            </w:r>
          </w:p>
        </w:tc>
        <w:tc>
          <w:tcPr/>
          <w:p>
            <w:pPr>
              <w:pStyle w:val="Compact"/>
            </w:pPr>
            <w:r>
              <w:t xml:space="preserve"> </w:t>
            </w:r>
          </w:p>
        </w:tc>
      </w:tr>
      <w:tr>
        <w:tc>
          <w:tcPr/>
          <w:p>
            <w:pPr>
              <w:pStyle w:val="Compact"/>
            </w:pPr>
            <w:r>
              <w:rPr>
                <w:b/>
                <w:bCs/>
              </w:rPr>
              <w:t xml:space="preserve">Échéance</w:t>
            </w:r>
          </w:p>
        </w:tc>
        <w:tc>
          <w:tcPr/>
          <w:p>
            <w:pPr>
              <w:pStyle w:val="Compact"/>
            </w:pPr>
            <w:r>
              <w:t xml:space="preserve"> </w:t>
            </w:r>
          </w:p>
        </w:tc>
      </w:tr>
      <w:tr>
        <w:tc>
          <w:tcPr/>
          <w:p>
            <w:pPr>
              <w:pStyle w:val="Compact"/>
            </w:pPr>
            <w:r>
              <w:rPr>
                <w:b/>
                <w:bCs/>
              </w:rPr>
              <w:t xml:space="preserve">Responsable du relevé</w:t>
            </w:r>
          </w:p>
        </w:tc>
        <w:tc>
          <w:tcPr/>
          <w:p>
            <w:pPr>
              <w:pStyle w:val="Compact"/>
            </w:pPr>
            <w:r>
              <w:t xml:space="preserve"> </w:t>
            </w:r>
          </w:p>
        </w:tc>
      </w:tr>
      <w:tr>
        <w:tc>
          <w:tcPr/>
          <w:p>
            <w:pPr>
              <w:pStyle w:val="Compact"/>
            </w:pPr>
            <w:r>
              <w:rPr>
                <w:b/>
                <w:bCs/>
              </w:rPr>
              <w:t xml:space="preserve">Fréquence de revue</w:t>
            </w:r>
          </w:p>
        </w:tc>
        <w:tc>
          <w:tcPr/>
          <w:p>
            <w:pPr>
              <w:pStyle w:val="Compact"/>
            </w:pPr>
            <w:r>
              <w:t xml:space="preserve"> </w:t>
            </w:r>
          </w:p>
        </w:tc>
      </w:tr>
      <w:tr>
        <w:tc>
          <w:tcPr/>
          <w:p>
            <w:pPr>
              <w:pStyle w:val="Compact"/>
            </w:pPr>
            <w:r>
              <w:rPr>
                <w:b/>
                <w:bCs/>
              </w:rPr>
              <w:t xml:space="preserve">Action prévue en cas d'écart</w:t>
            </w:r>
          </w:p>
        </w:tc>
        <w:tc>
          <w:tcPr/>
          <w:p>
            <w:pPr>
              <w:pStyle w:val="Compact"/>
            </w:pPr>
            <w:r>
              <w:t xml:space="preserve"> </w:t>
            </w:r>
          </w:p>
        </w:tc>
      </w:tr>
    </w:tbl>
    <w:bookmarkEnd w:id="15"/>
    <w:bookmarkStart w:id="16" w:name="Xc9aa1b4e8f6ec3434f4a6d23d9d1eb54d56e16e"/>
    <w:p>
      <w:pPr>
        <w:pStyle w:val="Heading2"/>
      </w:pPr>
      <w:r>
        <w:t xml:space="preserve">7</w:t>
      </w:r>
      <w:r>
        <w:t xml:space="preserve"> </w:t>
      </w:r>
      <w:r>
        <w:t xml:space="preserve">Gouvernance du tableau de bord multi-sites</w:t>
      </w:r>
    </w:p>
    <w:p>
      <w:pPr>
        <w:pStyle w:val="FirstParagraph"/>
      </w:pPr>
      <w:r>
        <w:t xml:space="preserve">La collecte, la validation, l'analyse et la décision ne doivent pas reposer sur une seule fonction. Indiquez la personne ou le service en charge sur votre organisation.</w:t>
      </w:r>
    </w:p>
    <w:tbl>
      <w:tblPr>
        <w:tblStyle w:val="Table"/>
        <w:tblW w:type="pct" w:w="5000"/>
        <w:tblLayout w:type="fixed"/>
        <w:tblLook w:firstRow="1" w:lastRow="0" w:firstColumn="0" w:lastColumn="0" w:noHBand="0" w:noVBand="0" w:val="0020"/>
      </w:tblPr>
      <w:tblGrid>
        <w:gridCol w:w="2217"/>
        <w:gridCol w:w="2851"/>
        <w:gridCol w:w="2851"/>
      </w:tblGrid>
      <w:tr>
        <w:trPr>
          <w:tblHeader w:val="on"/>
        </w:trPr>
        <w:tc>
          <w:tcPr/>
          <w:p>
            <w:pPr>
              <w:pStyle w:val="Compact"/>
            </w:pPr>
            <w:r>
              <w:t xml:space="preserve">Rôle</w:t>
            </w:r>
          </w:p>
        </w:tc>
        <w:tc>
          <w:tcPr/>
          <w:p>
            <w:pPr>
              <w:pStyle w:val="Compact"/>
            </w:pPr>
            <w:r>
              <w:t xml:space="preserve">Fonction de référence</w:t>
            </w:r>
          </w:p>
        </w:tc>
        <w:tc>
          <w:tcPr/>
          <w:p>
            <w:pPr>
              <w:pStyle w:val="Compact"/>
            </w:pPr>
            <w:r>
              <w:t xml:space="preserve">Personne ou service désigné</w:t>
            </w:r>
          </w:p>
        </w:tc>
      </w:tr>
      <w:tr>
        <w:tc>
          <w:tcPr/>
          <w:p>
            <w:pPr>
              <w:pStyle w:val="Compact"/>
            </w:pPr>
            <w:r>
              <w:rPr>
                <w:b/>
                <w:bCs/>
              </w:rPr>
              <w:t xml:space="preserve">Collecte</w:t>
            </w:r>
          </w:p>
        </w:tc>
        <w:tc>
          <w:tcPr/>
          <w:p>
            <w:pPr>
              <w:pStyle w:val="Compact"/>
            </w:pPr>
            <w:r>
              <w:t xml:space="preserve">Équipes techniques : renseignent les ordres de travail</w:t>
            </w:r>
          </w:p>
        </w:tc>
        <w:tc>
          <w:tcPr/>
          <w:p>
            <w:pPr>
              <w:pStyle w:val="Compact"/>
            </w:pPr>
            <w:r>
              <w:t xml:space="preserve"> </w:t>
            </w:r>
          </w:p>
        </w:tc>
      </w:tr>
      <w:tr>
        <w:tc>
          <w:tcPr/>
          <w:p>
            <w:pPr>
              <w:pStyle w:val="Compact"/>
            </w:pPr>
            <w:r>
              <w:rPr>
                <w:b/>
                <w:bCs/>
              </w:rPr>
              <w:t xml:space="preserve">Validation</w:t>
            </w:r>
          </w:p>
        </w:tc>
        <w:tc>
          <w:tcPr/>
          <w:p>
            <w:pPr>
              <w:pStyle w:val="Compact"/>
            </w:pPr>
            <w:r>
              <w:t xml:space="preserve">Responsable de site : contrôle la cohérence</w:t>
            </w:r>
          </w:p>
        </w:tc>
        <w:tc>
          <w:tcPr/>
          <w:p>
            <w:pPr>
              <w:pStyle w:val="Compact"/>
            </w:pPr>
            <w:r>
              <w:t xml:space="preserve"> </w:t>
            </w:r>
          </w:p>
        </w:tc>
      </w:tr>
      <w:tr>
        <w:tc>
          <w:tcPr/>
          <w:p>
            <w:pPr>
              <w:pStyle w:val="Compact"/>
            </w:pPr>
            <w:r>
              <w:rPr>
                <w:b/>
                <w:bCs/>
              </w:rPr>
              <w:t xml:space="preserve">Consolidation</w:t>
            </w:r>
          </w:p>
        </w:tc>
        <w:tc>
          <w:tcPr/>
          <w:p>
            <w:pPr>
              <w:pStyle w:val="Compact"/>
            </w:pPr>
            <w:r>
              <w:t xml:space="preserve">Fonction maintenance : consolide les résultats</w:t>
            </w:r>
          </w:p>
        </w:tc>
        <w:tc>
          <w:tcPr/>
          <w:p>
            <w:pPr>
              <w:pStyle w:val="Compact"/>
            </w:pPr>
            <w:r>
              <w:t xml:space="preserve"> </w:t>
            </w:r>
          </w:p>
        </w:tc>
      </w:tr>
      <w:tr>
        <w:tc>
          <w:tcPr/>
          <w:p>
            <w:pPr>
              <w:pStyle w:val="Compact"/>
            </w:pPr>
            <w:r>
              <w:rPr>
                <w:b/>
                <w:bCs/>
              </w:rPr>
              <w:t xml:space="preserve">Interprétation</w:t>
            </w:r>
          </w:p>
        </w:tc>
        <w:tc>
          <w:tcPr/>
          <w:p>
            <w:pPr>
              <w:pStyle w:val="Compact"/>
            </w:pPr>
            <w:r>
              <w:t xml:space="preserve">Exploitation : interprète les effets sur l'activité</w:t>
            </w:r>
          </w:p>
        </w:tc>
        <w:tc>
          <w:tcPr/>
          <w:p>
            <w:pPr>
              <w:pStyle w:val="Compact"/>
            </w:pPr>
            <w:r>
              <w:t xml:space="preserve"> </w:t>
            </w:r>
          </w:p>
        </w:tc>
      </w:tr>
      <w:tr>
        <w:tc>
          <w:tcPr/>
          <w:p>
            <w:pPr>
              <w:pStyle w:val="Compact"/>
            </w:pPr>
            <w:r>
              <w:rPr>
                <w:b/>
                <w:bCs/>
              </w:rPr>
              <w:t xml:space="preserve">Arbitrage</w:t>
            </w:r>
          </w:p>
        </w:tc>
        <w:tc>
          <w:tcPr/>
          <w:p>
            <w:pPr>
              <w:pStyle w:val="Compact"/>
            </w:pPr>
            <w:r>
              <w:t xml:space="preserve">Achats et direction : arbitrent le budget et les ressources</w:t>
            </w:r>
          </w:p>
        </w:tc>
        <w:tc>
          <w:tcPr/>
          <w:p>
            <w:pPr>
              <w:pStyle w:val="Compact"/>
            </w:pPr>
            <w:r>
              <w:t xml:space="preserve"> </w:t>
            </w:r>
          </w:p>
        </w:tc>
      </w:tr>
    </w:tbl>
    <w:p/>
    <w:tbl>
      <w:tblPr>
        <w:tblStyle w:val="Table"/>
        <w:tblW w:type="pct" w:w="5000"/>
        <w:tblLayout w:type="fixed"/>
        <w:tblLook w:firstRow="1" w:lastRow="0" w:firstColumn="0" w:lastColumn="0" w:noHBand="0" w:noVBand="0" w:val="0020"/>
      </w:tblPr>
      <w:tblGrid>
        <w:gridCol w:w="1584"/>
        <w:gridCol w:w="2851"/>
        <w:gridCol w:w="1742"/>
        <w:gridCol w:w="1742"/>
      </w:tblGrid>
      <w:tr>
        <w:trPr>
          <w:tblHeader w:val="on"/>
        </w:trPr>
        <w:tc>
          <w:tcPr/>
          <w:p>
            <w:pPr>
              <w:pStyle w:val="Compact"/>
            </w:pPr>
            <w:r>
              <w:t xml:space="preserve">Niveau de pilotage</w:t>
            </w:r>
          </w:p>
        </w:tc>
        <w:tc>
          <w:tcPr/>
          <w:p>
            <w:pPr>
              <w:pStyle w:val="Compact"/>
            </w:pPr>
            <w:r>
              <w:t xml:space="preserve">Contenu principal</w:t>
            </w:r>
          </w:p>
        </w:tc>
        <w:tc>
          <w:tcPr/>
          <w:p>
            <w:pPr>
              <w:pStyle w:val="Compact"/>
            </w:pPr>
            <w:r>
              <w:t xml:space="preserve">Fréquence</w:t>
            </w:r>
          </w:p>
        </w:tc>
        <w:tc>
          <w:tcPr/>
          <w:p>
            <w:pPr>
              <w:pStyle w:val="Compact"/>
            </w:pPr>
            <w:r>
              <w:t xml:space="preserve">Fréquence retenue</w:t>
            </w:r>
          </w:p>
        </w:tc>
      </w:tr>
      <w:tr>
        <w:tc>
          <w:tcPr/>
          <w:p>
            <w:pPr>
              <w:pStyle w:val="Compact"/>
            </w:pPr>
            <w:r>
              <w:rPr>
                <w:b/>
                <w:bCs/>
              </w:rPr>
              <w:t xml:space="preserve">Opérationnel</w:t>
            </w:r>
          </w:p>
        </w:tc>
        <w:tc>
          <w:tcPr/>
          <w:p>
            <w:pPr>
              <w:pStyle w:val="Compact"/>
            </w:pPr>
            <w:r>
              <w:t xml:space="preserve">Défaillances, charge, délais et programme</w:t>
            </w:r>
          </w:p>
        </w:tc>
        <w:tc>
          <w:tcPr/>
          <w:p>
            <w:pPr>
              <w:pStyle w:val="Compact"/>
            </w:pPr>
            <w:r>
              <w:t xml:space="preserve">Quotidienne ou hebdomadaire</w:t>
            </w:r>
          </w:p>
        </w:tc>
        <w:tc>
          <w:tcPr/>
          <w:p>
            <w:pPr>
              <w:pStyle w:val="Compact"/>
            </w:pPr>
            <w:r>
              <w:t xml:space="preserve"> </w:t>
            </w:r>
          </w:p>
        </w:tc>
      </w:tr>
      <w:tr>
        <w:tc>
          <w:tcPr/>
          <w:p>
            <w:pPr>
              <w:pStyle w:val="Compact"/>
            </w:pPr>
            <w:r>
              <w:rPr>
                <w:b/>
                <w:bCs/>
              </w:rPr>
              <w:t xml:space="preserve">Gestion de site</w:t>
            </w:r>
          </w:p>
        </w:tc>
        <w:tc>
          <w:tcPr/>
          <w:p>
            <w:pPr>
              <w:pStyle w:val="Compact"/>
            </w:pPr>
            <w:r>
              <w:t xml:space="preserve">FMD, préventif et récurrences</w:t>
            </w:r>
          </w:p>
        </w:tc>
        <w:tc>
          <w:tcPr/>
          <w:p>
            <w:pPr>
              <w:pStyle w:val="Compact"/>
            </w:pPr>
            <w:r>
              <w:t xml:space="preserve">Hebdomadaire ou mensuelle</w:t>
            </w:r>
          </w:p>
        </w:tc>
        <w:tc>
          <w:tcPr/>
          <w:p>
            <w:pPr>
              <w:pStyle w:val="Compact"/>
            </w:pPr>
            <w:r>
              <w:t xml:space="preserve"> </w:t>
            </w:r>
          </w:p>
        </w:tc>
      </w:tr>
      <w:tr>
        <w:tc>
          <w:tcPr/>
          <w:p>
            <w:pPr>
              <w:pStyle w:val="Compact"/>
            </w:pPr>
            <w:r>
              <w:rPr>
                <w:b/>
                <w:bCs/>
              </w:rPr>
              <w:t xml:space="preserve">Direction</w:t>
            </w:r>
          </w:p>
        </w:tc>
        <w:tc>
          <w:tcPr/>
          <w:p>
            <w:pPr>
              <w:pStyle w:val="Compact"/>
            </w:pPr>
            <w:r>
              <w:t xml:space="preserve">Performance consolidée et écarts entre sites</w:t>
            </w:r>
          </w:p>
        </w:tc>
        <w:tc>
          <w:tcPr/>
          <w:p>
            <w:pPr>
              <w:pStyle w:val="Compact"/>
            </w:pPr>
            <w:r>
              <w:t xml:space="preserve">Mensuelle</w:t>
            </w:r>
          </w:p>
        </w:tc>
        <w:tc>
          <w:tcPr/>
          <w:p>
            <w:pPr>
              <w:pStyle w:val="Compact"/>
            </w:pPr>
            <w:r>
              <w:t xml:space="preserve"> </w:t>
            </w:r>
          </w:p>
        </w:tc>
      </w:tr>
      <w:tr>
        <w:tc>
          <w:tcPr/>
          <w:p>
            <w:pPr>
              <w:pStyle w:val="Compact"/>
            </w:pPr>
            <w:r>
              <w:rPr>
                <w:b/>
                <w:bCs/>
              </w:rPr>
              <w:t xml:space="preserve">Revue contractuelle</w:t>
            </w:r>
          </w:p>
        </w:tc>
        <w:tc>
          <w:tcPr/>
          <w:p>
            <w:pPr>
              <w:pStyle w:val="Compact"/>
            </w:pPr>
            <w:r>
              <w:t xml:space="preserve">SLA, vérifications et actions correctives</w:t>
            </w:r>
          </w:p>
        </w:tc>
        <w:tc>
          <w:tcPr/>
          <w:p>
            <w:pPr>
              <w:pStyle w:val="Compact"/>
            </w:pPr>
            <w:r>
              <w:t xml:space="preserve">Selon le cycle de pilotage</w:t>
            </w:r>
          </w:p>
        </w:tc>
        <w:tc>
          <w:tcPr/>
          <w:p>
            <w:pPr>
              <w:pStyle w:val="Compact"/>
            </w:pPr>
            <w:r>
              <w:t xml:space="preserve"> </w:t>
            </w:r>
          </w:p>
        </w:tc>
      </w:tr>
    </w:tbl>
    <w:bookmarkEnd w:id="16"/>
    <w:bookmarkStart w:id="19" w:name="validation-du-référentiel"/>
    <w:p>
      <w:pPr>
        <w:pStyle w:val="Heading2"/>
      </w:pPr>
      <w:r>
        <w:t xml:space="preserve">8</w:t>
      </w:r>
      <w:r>
        <w:t xml:space="preserve"> </w:t>
      </w:r>
      <w:r>
        <w:t xml:space="preserve">Validation du référentiel</w:t>
      </w:r>
    </w:p>
    <w:tbl>
      <w:tblPr>
        <w:tblStyle w:val="Table"/>
        <w:tblW w:type="pct" w:w="5000"/>
        <w:tblLayout w:type="fixed"/>
        <w:tblLook w:firstRow="1" w:lastRow="0" w:firstColumn="0" w:lastColumn="0" w:noHBand="0" w:noVBand="0" w:val="0020"/>
      </w:tblPr>
      <w:tblGrid>
        <w:gridCol w:w="1980"/>
        <w:gridCol w:w="2138"/>
        <w:gridCol w:w="1425"/>
        <w:gridCol w:w="2376"/>
      </w:tblGrid>
      <w:tr>
        <w:trPr>
          <w:tblHeader w:val="on"/>
        </w:trPr>
        <w:tc>
          <w:tcPr/>
          <w:p>
            <w:pPr>
              <w:pStyle w:val="Compact"/>
            </w:pPr>
            <w:r>
              <w:t xml:space="preserve">Fonction</w:t>
            </w:r>
          </w:p>
        </w:tc>
        <w:tc>
          <w:tcPr/>
          <w:p>
            <w:pPr>
              <w:pStyle w:val="Compact"/>
            </w:pPr>
            <w:r>
              <w:t xml:space="preserve">Nom</w:t>
            </w:r>
          </w:p>
        </w:tc>
        <w:tc>
          <w:tcPr/>
          <w:p>
            <w:pPr>
              <w:pStyle w:val="Compact"/>
            </w:pPr>
            <w:r>
              <w:t xml:space="preserve">Date</w:t>
            </w:r>
          </w:p>
        </w:tc>
        <w:tc>
          <w:tcPr/>
          <w:p>
            <w:pPr>
              <w:pStyle w:val="Compact"/>
            </w:pPr>
            <w:r>
              <w:t xml:space="preserve">Visa</w:t>
            </w:r>
          </w:p>
        </w:tc>
      </w:tr>
      <w:tr>
        <w:tc>
          <w:tcPr/>
          <w:p>
            <w:pPr>
              <w:pStyle w:val="Compact"/>
            </w:pPr>
            <w:r>
              <w:rPr>
                <w:b/>
                <w:bCs/>
              </w:rPr>
              <w:t xml:space="preserve">Maintenance</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Exploitation</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Achats</w:t>
            </w:r>
          </w:p>
        </w:tc>
        <w:tc>
          <w:tcPr/>
          <w:p>
            <w:pPr>
              <w:pStyle w:val="Compact"/>
            </w:pPr>
            <w:r>
              <w:t xml:space="preserve"> </w:t>
            </w:r>
          </w:p>
        </w:tc>
        <w:tc>
          <w:tcPr/>
          <w:p>
            <w:pPr>
              <w:pStyle w:val="Compact"/>
            </w:pPr>
            <w:r>
              <w:t xml:space="preserve"> </w:t>
            </w:r>
          </w:p>
        </w:tc>
        <w:tc>
          <w:tcPr/>
          <w:p>
            <w:pPr>
              <w:pStyle w:val="Compact"/>
            </w:pPr>
            <w:r>
              <w:t xml:space="preserve"> </w:t>
            </w:r>
          </w:p>
        </w:tc>
      </w:tr>
      <w:tr>
        <w:tc>
          <w:tcPr/>
          <w:p>
            <w:pPr>
              <w:pStyle w:val="Compact"/>
            </w:pPr>
            <w:r>
              <w:rPr>
                <w:b/>
                <w:bCs/>
              </w:rPr>
              <w:t xml:space="preserve">Direction financière</w:t>
            </w:r>
          </w:p>
        </w:tc>
        <w:tc>
          <w:tcPr/>
          <w:p>
            <w:pPr>
              <w:pStyle w:val="Compact"/>
            </w:pPr>
            <w:r>
              <w:t xml:space="preserve"> </w:t>
            </w:r>
          </w:p>
        </w:tc>
        <w:tc>
          <w:tcPr/>
          <w:p>
            <w:pPr>
              <w:pStyle w:val="Compact"/>
            </w:pPr>
            <w:r>
              <w:t xml:space="preserve"> </w:t>
            </w:r>
          </w:p>
        </w:tc>
        <w:tc>
          <w:tcPr/>
          <w:p>
            <w:pPr>
              <w:pStyle w:val="Compact"/>
            </w:pPr>
            <w:r>
              <w:t xml:space="preserve"> </w:t>
            </w:r>
          </w:p>
        </w:tc>
      </w:tr>
    </w:tbl>
    <w:p>
      <w:pPr>
        <w:pStyle w:val="BodyText"/>
      </w:pPr>
      <w:r>
        <w:t xml:space="preserve">Toute modification d'une définition, d'une formule ou d'une règle d'exclusion donne lieu à une nouvelle version du référentiel, datée et diffusée à l'ensemble des sites et des prestataires.</w:t>
      </w:r>
    </w:p>
    <w:p>
      <w:pPr>
        <w:pStyle w:val="BodyText"/>
      </w:pPr>
      <w:r>
        <w:t xml:space="preserve">Passer à l'action</w:t>
      </w:r>
    </w:p>
    <w:bookmarkStart w:id="18" w:name="des-kpi-comparables-sur-tous-vos-sites."/>
    <w:p>
      <w:pPr>
        <w:pStyle w:val="Heading4"/>
      </w:pPr>
      <w:r>
        <w:t xml:space="preserve">Des KPI comparables sur tous vos sites.</w:t>
      </w:r>
    </w:p>
    <w:p>
      <w:pPr>
        <w:pStyle w:val="FirstParagraph"/>
      </w:pPr>
      <w:r>
        <w:t xml:space="preserve">Harmony by Depanneo centralise les demandes d'intervention de votre parc, homogénéise les règles de saisie et vous remet un pilotage multi-sites lisible par la maintenance, les achats et la direction.</w:t>
      </w:r>
    </w:p>
    <w:p>
      <w:pPr>
        <w:pStyle w:val="BodyText"/>
      </w:pPr>
      <w:hyperlink r:id="rId17">
        <w:r>
          <w:rPr>
            <w:rStyle w:val="Hyperlink"/>
          </w:rPr>
          <w:t xml:space="preserve">Demander un audit de parc</w:t>
        </w:r>
      </w:hyperlink>
      <w:r>
        <w:t xml:space="preserve"> </w:t>
      </w:r>
      <w:r>
        <w:t xml:space="preserve">ou 09 72 19 64 14</w:t>
      </w:r>
    </w:p>
    <w:bookmarkEnd w:id="18"/>
    <w:bookmarkEnd w:id="19"/>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s://www.depanneo.com/harmony/contact/" TargetMode="External" /></Relationships>
</file>

<file path=word/_rels/footnotes.xml.rels><?xml version="1.0" encoding="UTF-8"?><Relationships xmlns="http://schemas.openxmlformats.org/package/2006/relationships"><Relationship Type="http://schemas.openxmlformats.org/officeDocument/2006/relationships/hyperlink" Id="rId17" Target="https://www.depanneo.com/harmony/contac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2026-10-05T14:38:41Z</dcterms:created>
  <dcterms:modified xsi:type="dcterms:W3CDTF">2026-10-05T14:38:41Z</dcterms:modified>
</cp:coreProperties>
</file>

<file path=docProps/custom.xml><?xml version="1.0" encoding="utf-8"?>
<Properties xmlns="http://schemas.openxmlformats.org/officeDocument/2006/custom-properties" xmlns:vt="http://schemas.openxmlformats.org/officeDocument/2006/docPropsVTypes"/>
</file>